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8305" w14:textId="0FC6410D" w:rsidR="00603093" w:rsidRPr="00221350" w:rsidRDefault="00DB646F" w:rsidP="007A0640">
      <w:pPr>
        <w:spacing w:before="60" w:after="60" w:line="240" w:lineRule="auto"/>
        <w:rPr>
          <w:rFonts w:asciiTheme="majorHAnsi" w:hAnsiTheme="majorHAnsi" w:cstheme="majorHAnsi"/>
          <w:b/>
          <w:color w:val="17365D" w:themeColor="text2" w:themeShade="BF"/>
          <w:sz w:val="42"/>
          <w:szCs w:val="42"/>
        </w:rPr>
      </w:pPr>
      <w:r w:rsidRPr="00221350">
        <w:rPr>
          <w:rFonts w:asciiTheme="majorHAnsi" w:hAnsiTheme="majorHAnsi" w:cstheme="majorHAnsi"/>
          <w:b/>
          <w:color w:val="17365D" w:themeColor="text2" w:themeShade="BF"/>
          <w:sz w:val="42"/>
          <w:szCs w:val="42"/>
        </w:rPr>
        <w:t>EXCAVATION</w:t>
      </w:r>
      <w:r w:rsidR="00913B92" w:rsidRPr="00221350">
        <w:rPr>
          <w:rFonts w:asciiTheme="majorHAnsi" w:hAnsiTheme="majorHAnsi" w:cstheme="majorHAnsi"/>
          <w:b/>
          <w:color w:val="17365D" w:themeColor="text2" w:themeShade="BF"/>
          <w:sz w:val="42"/>
          <w:szCs w:val="42"/>
        </w:rPr>
        <w:t xml:space="preserve"> PROCEDURE</w:t>
      </w:r>
    </w:p>
    <w:p w14:paraId="6F1604AE" w14:textId="77777777" w:rsidR="00DB646F" w:rsidRPr="00221350" w:rsidRDefault="00DB646F" w:rsidP="00221350">
      <w:pPr>
        <w:pStyle w:val="BodyText"/>
        <w:spacing w:before="60" w:after="60"/>
        <w:rPr>
          <w:rFonts w:asciiTheme="majorHAnsi" w:hAnsiTheme="majorHAnsi" w:cstheme="majorHAnsi"/>
          <w:color w:val="17365D" w:themeColor="text2" w:themeShade="BF"/>
          <w:sz w:val="18"/>
          <w:szCs w:val="18"/>
        </w:rPr>
      </w:pPr>
    </w:p>
    <w:p w14:paraId="04EA2C44" w14:textId="4EA6C666" w:rsidR="001738EB" w:rsidRPr="00221350" w:rsidRDefault="00DB646F" w:rsidP="00900E99">
      <w:pPr>
        <w:pStyle w:val="BodyText"/>
        <w:spacing w:before="60" w:after="60" w:line="276" w:lineRule="auto"/>
        <w:rPr>
          <w:rFonts w:asciiTheme="majorHAnsi" w:hAnsiTheme="majorHAnsi" w:cstheme="majorHAnsi"/>
          <w:b/>
          <w:color w:val="17365D" w:themeColor="text2" w:themeShade="BF"/>
          <w:sz w:val="28"/>
          <w:szCs w:val="28"/>
        </w:rPr>
      </w:pPr>
      <w:r w:rsidRPr="00221350">
        <w:rPr>
          <w:rFonts w:asciiTheme="majorHAnsi" w:hAnsiTheme="majorHAnsi" w:cstheme="majorHAnsi"/>
          <w:b/>
          <w:color w:val="17365D" w:themeColor="text2" w:themeShade="BF"/>
          <w:sz w:val="28"/>
          <w:szCs w:val="28"/>
        </w:rPr>
        <w:t>Introduction</w:t>
      </w:r>
    </w:p>
    <w:p w14:paraId="26B0F04A" w14:textId="77777777" w:rsidR="00EB47D5" w:rsidRPr="00221350" w:rsidRDefault="00EC2EDC" w:rsidP="00221350">
      <w:pPr>
        <w:pStyle w:val="BodyText"/>
        <w:spacing w:before="60" w:after="60"/>
        <w:rPr>
          <w:rFonts w:asciiTheme="majorHAnsi" w:hAnsiTheme="majorHAnsi" w:cstheme="majorHAnsi"/>
          <w:sz w:val="20"/>
        </w:rPr>
      </w:pPr>
      <w:r w:rsidRPr="00221350">
        <w:rPr>
          <w:rFonts w:asciiTheme="majorHAnsi" w:hAnsiTheme="majorHAnsi" w:cstheme="majorHAnsi"/>
          <w:sz w:val="20"/>
        </w:rPr>
        <w:t>${legalname}</w:t>
      </w:r>
      <w:r w:rsidR="0010409B" w:rsidRPr="00221350">
        <w:rPr>
          <w:rFonts w:asciiTheme="majorHAnsi" w:hAnsiTheme="majorHAnsi" w:cstheme="majorHAnsi"/>
          <w:sz w:val="20"/>
        </w:rPr>
        <w:t xml:space="preserve"> </w:t>
      </w:r>
      <w:r w:rsidR="00EB47D5" w:rsidRPr="00221350">
        <w:rPr>
          <w:rFonts w:asciiTheme="majorHAnsi" w:hAnsiTheme="majorHAnsi" w:cstheme="majorHAnsi"/>
          <w:sz w:val="20"/>
        </w:rPr>
        <w:t>will ensure that the conduct of work relating to excavations</w:t>
      </w:r>
      <w:r w:rsidR="00941F73" w:rsidRPr="00221350">
        <w:rPr>
          <w:rFonts w:asciiTheme="majorHAnsi" w:hAnsiTheme="majorHAnsi" w:cstheme="majorHAnsi"/>
          <w:sz w:val="20"/>
        </w:rPr>
        <w:t xml:space="preserve"> and trenching</w:t>
      </w:r>
      <w:r w:rsidR="00EB47D5" w:rsidRPr="00221350">
        <w:rPr>
          <w:rFonts w:asciiTheme="majorHAnsi" w:hAnsiTheme="majorHAnsi" w:cstheme="majorHAnsi"/>
          <w:sz w:val="20"/>
        </w:rPr>
        <w:t xml:space="preserve"> will not be harmful to the health and safety of </w:t>
      </w:r>
      <w:r w:rsidR="00941F73" w:rsidRPr="00221350">
        <w:rPr>
          <w:rFonts w:asciiTheme="majorHAnsi" w:hAnsiTheme="majorHAnsi" w:cstheme="majorHAnsi"/>
          <w:sz w:val="20"/>
        </w:rPr>
        <w:t xml:space="preserve">workers </w:t>
      </w:r>
      <w:r w:rsidR="00EB47D5" w:rsidRPr="00221350">
        <w:rPr>
          <w:rFonts w:asciiTheme="majorHAnsi" w:hAnsiTheme="majorHAnsi" w:cstheme="majorHAnsi"/>
          <w:sz w:val="20"/>
        </w:rPr>
        <w:t>or the general community as far as is reasonably practicable. The purpose of this procedure is to ensure that risks to safety of persons involved in the performance of excavation/trenching work are identified before work commences.  Measures must be taken to eliminate, minimise or control these risks before, during and after the performance of the work.</w:t>
      </w:r>
    </w:p>
    <w:p w14:paraId="6CFF1A93" w14:textId="77777777" w:rsidR="00EB47D5" w:rsidRPr="00221350" w:rsidRDefault="00EB47D5" w:rsidP="00221350">
      <w:pPr>
        <w:spacing w:before="60" w:after="60" w:line="240" w:lineRule="auto"/>
        <w:jc w:val="both"/>
        <w:rPr>
          <w:rFonts w:asciiTheme="majorHAnsi" w:hAnsiTheme="majorHAnsi" w:cstheme="majorHAnsi"/>
          <w:sz w:val="20"/>
          <w:szCs w:val="20"/>
        </w:rPr>
      </w:pPr>
    </w:p>
    <w:p w14:paraId="79C6E817" w14:textId="4DF946E4" w:rsidR="001738EB" w:rsidRPr="00221350" w:rsidRDefault="00DB646F" w:rsidP="00900E99">
      <w:pPr>
        <w:spacing w:before="60" w:after="60"/>
        <w:jc w:val="both"/>
        <w:rPr>
          <w:rFonts w:asciiTheme="majorHAnsi" w:hAnsiTheme="majorHAnsi" w:cstheme="majorHAnsi"/>
          <w:b/>
          <w:color w:val="17365D" w:themeColor="text2" w:themeShade="BF"/>
          <w:sz w:val="28"/>
          <w:szCs w:val="28"/>
        </w:rPr>
      </w:pPr>
      <w:r w:rsidRPr="00221350">
        <w:rPr>
          <w:rFonts w:asciiTheme="majorHAnsi" w:hAnsiTheme="majorHAnsi" w:cstheme="majorHAnsi"/>
          <w:b/>
          <w:color w:val="17365D" w:themeColor="text2" w:themeShade="BF"/>
          <w:sz w:val="28"/>
          <w:szCs w:val="28"/>
        </w:rPr>
        <w:t>Scope</w:t>
      </w:r>
    </w:p>
    <w:p w14:paraId="5EC2B696" w14:textId="77777777" w:rsidR="00EB47D5" w:rsidRPr="00221350" w:rsidRDefault="00EB47D5"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This procedure relates to excavation work if:</w:t>
      </w:r>
    </w:p>
    <w:p w14:paraId="6EE3789F" w14:textId="1F516794" w:rsidR="00867A76" w:rsidRPr="00221350" w:rsidRDefault="00F436F6" w:rsidP="00221350">
      <w:pPr>
        <w:pStyle w:val="ListParagraph"/>
        <w:numPr>
          <w:ilvl w:val="0"/>
          <w:numId w:val="12"/>
        </w:numPr>
        <w:spacing w:before="60" w:after="60" w:line="240" w:lineRule="auto"/>
        <w:jc w:val="both"/>
        <w:rPr>
          <w:rFonts w:asciiTheme="majorHAnsi" w:hAnsiTheme="majorHAnsi" w:cstheme="majorHAnsi"/>
          <w:b/>
          <w:sz w:val="20"/>
          <w:szCs w:val="20"/>
        </w:rPr>
      </w:pPr>
      <w:r w:rsidRPr="00221350">
        <w:rPr>
          <w:rFonts w:asciiTheme="majorHAnsi" w:hAnsiTheme="majorHAnsi" w:cstheme="majorHAnsi"/>
          <w:sz w:val="20"/>
          <w:szCs w:val="20"/>
        </w:rPr>
        <w:t>A</w:t>
      </w:r>
      <w:r w:rsidR="00EB47D5" w:rsidRPr="00221350">
        <w:rPr>
          <w:rFonts w:asciiTheme="majorHAnsi" w:hAnsiTheme="majorHAnsi" w:cstheme="majorHAnsi"/>
          <w:sz w:val="20"/>
          <w:szCs w:val="20"/>
        </w:rPr>
        <w:t xml:space="preserve">n excavation formed by the work </w:t>
      </w:r>
      <w:r w:rsidR="007A0640" w:rsidRPr="00221350">
        <w:rPr>
          <w:rFonts w:asciiTheme="majorHAnsi" w:hAnsiTheme="majorHAnsi" w:cstheme="majorHAnsi"/>
          <w:sz w:val="20"/>
          <w:szCs w:val="20"/>
        </w:rPr>
        <w:t>is or</w:t>
      </w:r>
      <w:r w:rsidR="00867A76" w:rsidRPr="00221350">
        <w:rPr>
          <w:rFonts w:asciiTheme="majorHAnsi" w:hAnsiTheme="majorHAnsi" w:cstheme="majorHAnsi"/>
          <w:sz w:val="20"/>
          <w:szCs w:val="20"/>
        </w:rPr>
        <w:t xml:space="preserve"> will be </w:t>
      </w:r>
      <w:r w:rsidR="00EB47D5" w:rsidRPr="00221350">
        <w:rPr>
          <w:rFonts w:asciiTheme="majorHAnsi" w:hAnsiTheme="majorHAnsi" w:cstheme="majorHAnsi"/>
          <w:b/>
          <w:sz w:val="20"/>
          <w:szCs w:val="20"/>
        </w:rPr>
        <w:t>more than 1.5</w:t>
      </w:r>
      <w:r w:rsidR="00867A76" w:rsidRPr="00221350">
        <w:rPr>
          <w:rFonts w:asciiTheme="majorHAnsi" w:hAnsiTheme="majorHAnsi" w:cstheme="majorHAnsi"/>
          <w:sz w:val="20"/>
          <w:szCs w:val="20"/>
        </w:rPr>
        <w:t xml:space="preserve"> metres high when </w:t>
      </w:r>
      <w:r w:rsidR="00EB47D5" w:rsidRPr="00221350">
        <w:rPr>
          <w:rFonts w:asciiTheme="majorHAnsi" w:hAnsiTheme="majorHAnsi" w:cstheme="majorHAnsi"/>
          <w:sz w:val="20"/>
          <w:szCs w:val="20"/>
        </w:rPr>
        <w:t xml:space="preserve">measured from the bottom of the excavation </w:t>
      </w:r>
      <w:r w:rsidR="00867A76" w:rsidRPr="00221350">
        <w:rPr>
          <w:rFonts w:asciiTheme="majorHAnsi" w:hAnsiTheme="majorHAnsi" w:cstheme="majorHAnsi"/>
          <w:b/>
          <w:sz w:val="20"/>
          <w:szCs w:val="20"/>
        </w:rPr>
        <w:t>and</w:t>
      </w:r>
    </w:p>
    <w:p w14:paraId="27976DB0" w14:textId="77777777" w:rsidR="00EB47D5" w:rsidRPr="00221350" w:rsidRDefault="00F436F6" w:rsidP="00221350">
      <w:pPr>
        <w:pStyle w:val="ListParagraph"/>
        <w:numPr>
          <w:ilvl w:val="0"/>
          <w:numId w:val="12"/>
        </w:numPr>
        <w:spacing w:before="60" w:after="60" w:line="240" w:lineRule="auto"/>
        <w:jc w:val="both"/>
        <w:rPr>
          <w:rFonts w:asciiTheme="majorHAnsi" w:hAnsiTheme="majorHAnsi" w:cstheme="majorHAnsi"/>
          <w:b/>
          <w:sz w:val="20"/>
          <w:szCs w:val="20"/>
        </w:rPr>
      </w:pPr>
      <w:r w:rsidRPr="00221350">
        <w:rPr>
          <w:rFonts w:asciiTheme="majorHAnsi" w:hAnsiTheme="majorHAnsi" w:cstheme="majorHAnsi"/>
          <w:sz w:val="20"/>
          <w:szCs w:val="20"/>
        </w:rPr>
        <w:t>T</w:t>
      </w:r>
      <w:r w:rsidR="00EB47D5" w:rsidRPr="00221350">
        <w:rPr>
          <w:rFonts w:asciiTheme="majorHAnsi" w:hAnsiTheme="majorHAnsi" w:cstheme="majorHAnsi"/>
          <w:sz w:val="20"/>
          <w:szCs w:val="20"/>
        </w:rPr>
        <w:t xml:space="preserve">he excavation is capable of permitting the entry of a person; </w:t>
      </w:r>
      <w:r w:rsidR="00EB47D5" w:rsidRPr="00221350">
        <w:rPr>
          <w:rFonts w:asciiTheme="majorHAnsi" w:hAnsiTheme="majorHAnsi" w:cstheme="majorHAnsi"/>
          <w:b/>
          <w:sz w:val="20"/>
          <w:szCs w:val="20"/>
        </w:rPr>
        <w:t>or</w:t>
      </w:r>
    </w:p>
    <w:p w14:paraId="7757D193" w14:textId="77777777" w:rsidR="00EB47D5" w:rsidRPr="00221350" w:rsidRDefault="00F436F6" w:rsidP="00221350">
      <w:pPr>
        <w:pStyle w:val="ListParagraph"/>
        <w:numPr>
          <w:ilvl w:val="0"/>
          <w:numId w:val="12"/>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w:t>
      </w:r>
      <w:r w:rsidR="00EB47D5" w:rsidRPr="00221350">
        <w:rPr>
          <w:rFonts w:asciiTheme="majorHAnsi" w:hAnsiTheme="majorHAnsi" w:cstheme="majorHAnsi"/>
          <w:sz w:val="20"/>
          <w:szCs w:val="20"/>
        </w:rPr>
        <w:t xml:space="preserve">here is a possibility that a person involved in the performance of the work, or in the vicinity of any excavation or excavation work, could be injured from a fall or dislodgment of soil or rock  </w:t>
      </w:r>
    </w:p>
    <w:p w14:paraId="7F0FF008" w14:textId="77777777" w:rsidR="00EB47D5" w:rsidRPr="00221350" w:rsidRDefault="00EB47D5" w:rsidP="00221350">
      <w:pPr>
        <w:spacing w:before="60" w:after="60" w:line="240" w:lineRule="auto"/>
        <w:ind w:left="709" w:hanging="709"/>
        <w:jc w:val="both"/>
        <w:rPr>
          <w:rFonts w:asciiTheme="majorHAnsi" w:hAnsiTheme="majorHAnsi" w:cstheme="majorHAnsi"/>
          <w:color w:val="17365D" w:themeColor="text2" w:themeShade="BF"/>
          <w:sz w:val="20"/>
          <w:szCs w:val="20"/>
        </w:rPr>
      </w:pPr>
    </w:p>
    <w:p w14:paraId="20D58E10" w14:textId="3FA921D6" w:rsidR="00603093" w:rsidRPr="00221350" w:rsidRDefault="00DB646F" w:rsidP="00900E99">
      <w:pPr>
        <w:spacing w:before="60" w:after="60"/>
        <w:jc w:val="both"/>
        <w:rPr>
          <w:rFonts w:asciiTheme="majorHAnsi" w:hAnsiTheme="majorHAnsi" w:cstheme="majorHAnsi"/>
          <w:b/>
          <w:color w:val="17365D" w:themeColor="text2" w:themeShade="BF"/>
          <w:sz w:val="28"/>
          <w:szCs w:val="28"/>
        </w:rPr>
      </w:pPr>
      <w:r w:rsidRPr="00221350">
        <w:rPr>
          <w:rFonts w:asciiTheme="majorHAnsi" w:hAnsiTheme="majorHAnsi" w:cstheme="majorHAnsi"/>
          <w:b/>
          <w:color w:val="17365D" w:themeColor="text2" w:themeShade="BF"/>
          <w:sz w:val="28"/>
          <w:szCs w:val="28"/>
        </w:rPr>
        <w:t>Definitions</w:t>
      </w:r>
    </w:p>
    <w:p w14:paraId="3BB7B1E9" w14:textId="77777777" w:rsidR="00603093" w:rsidRPr="00221350" w:rsidRDefault="00603093"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b/>
          <w:sz w:val="20"/>
          <w:szCs w:val="20"/>
        </w:rPr>
        <w:t>Battering</w:t>
      </w:r>
      <w:r w:rsidRPr="00221350">
        <w:rPr>
          <w:rFonts w:asciiTheme="majorHAnsi" w:hAnsiTheme="majorHAnsi" w:cstheme="majorHAnsi"/>
          <w:sz w:val="20"/>
          <w:szCs w:val="20"/>
        </w:rPr>
        <w:t xml:space="preserve"> is to form the face or side or wall of an excavation to an angle, usually less than the natural angle of repose, to prevent earth slippage.</w:t>
      </w:r>
    </w:p>
    <w:p w14:paraId="11311708" w14:textId="77777777" w:rsidR="00603093" w:rsidRPr="00221350" w:rsidRDefault="00603093"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b/>
          <w:sz w:val="20"/>
          <w:szCs w:val="20"/>
        </w:rPr>
        <w:t xml:space="preserve">Excavation work </w:t>
      </w:r>
      <w:r w:rsidRPr="00221350">
        <w:rPr>
          <w:rFonts w:asciiTheme="majorHAnsi" w:hAnsiTheme="majorHAnsi" w:cstheme="majorHAnsi"/>
          <w:sz w:val="20"/>
          <w:szCs w:val="20"/>
        </w:rPr>
        <w:t>means work involving the removal of soil or rock from a site to form an open face, hole or cavity using tools, machinery or explosives.</w:t>
      </w:r>
    </w:p>
    <w:p w14:paraId="234D4A27" w14:textId="77777777" w:rsidR="00E673AC" w:rsidRPr="00221350" w:rsidRDefault="00E673AC"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b/>
          <w:sz w:val="20"/>
          <w:szCs w:val="20"/>
        </w:rPr>
        <w:t xml:space="preserve">Trench </w:t>
      </w:r>
      <w:r w:rsidRPr="00221350">
        <w:rPr>
          <w:rFonts w:asciiTheme="majorHAnsi" w:hAnsiTheme="majorHAnsi" w:cstheme="majorHAnsi"/>
          <w:sz w:val="20"/>
          <w:szCs w:val="20"/>
        </w:rPr>
        <w:t>is defined as a horizontal or inclined way or opening:</w:t>
      </w:r>
    </w:p>
    <w:p w14:paraId="67226F24" w14:textId="77777777" w:rsidR="00E673AC" w:rsidRPr="00221350" w:rsidRDefault="00F436F6" w:rsidP="00221350">
      <w:pPr>
        <w:numPr>
          <w:ilvl w:val="0"/>
          <w:numId w:val="18"/>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w:t>
      </w:r>
      <w:r w:rsidR="00E673AC" w:rsidRPr="00221350">
        <w:rPr>
          <w:rFonts w:asciiTheme="majorHAnsi" w:hAnsiTheme="majorHAnsi" w:cstheme="majorHAnsi"/>
          <w:sz w:val="20"/>
          <w:szCs w:val="20"/>
        </w:rPr>
        <w:t>he length of which is greater than its width and greater than or equal to its depth; and</w:t>
      </w:r>
    </w:p>
    <w:p w14:paraId="2F0EA207" w14:textId="77777777" w:rsidR="00E673AC" w:rsidRPr="00221350" w:rsidRDefault="00F436F6" w:rsidP="00221350">
      <w:pPr>
        <w:numPr>
          <w:ilvl w:val="0"/>
          <w:numId w:val="18"/>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w:t>
      </w:r>
      <w:r w:rsidR="00E673AC" w:rsidRPr="00221350">
        <w:rPr>
          <w:rFonts w:asciiTheme="majorHAnsi" w:hAnsiTheme="majorHAnsi" w:cstheme="majorHAnsi"/>
          <w:sz w:val="20"/>
          <w:szCs w:val="20"/>
        </w:rPr>
        <w:t>hat commences at and extends below the surface of the ground; and</w:t>
      </w:r>
    </w:p>
    <w:p w14:paraId="5F6ABA3C" w14:textId="77777777" w:rsidR="00E673AC" w:rsidRPr="00221350" w:rsidRDefault="00F436F6" w:rsidP="00221350">
      <w:pPr>
        <w:numPr>
          <w:ilvl w:val="0"/>
          <w:numId w:val="18"/>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That</w:t>
      </w:r>
      <w:r w:rsidR="00E673AC" w:rsidRPr="00221350">
        <w:rPr>
          <w:rFonts w:asciiTheme="majorHAnsi" w:hAnsiTheme="majorHAnsi" w:cstheme="majorHAnsi"/>
          <w:sz w:val="20"/>
          <w:szCs w:val="20"/>
        </w:rPr>
        <w:t xml:space="preserve"> is open to the surface along its length.</w:t>
      </w:r>
    </w:p>
    <w:p w14:paraId="1C778BE1" w14:textId="77777777" w:rsidR="001738EB" w:rsidRPr="00221350" w:rsidRDefault="001738EB" w:rsidP="00221350">
      <w:pPr>
        <w:spacing w:before="60" w:after="60" w:line="240" w:lineRule="auto"/>
        <w:jc w:val="both"/>
        <w:rPr>
          <w:rFonts w:asciiTheme="majorHAnsi" w:hAnsiTheme="majorHAnsi" w:cstheme="majorHAnsi"/>
          <w:sz w:val="18"/>
          <w:szCs w:val="18"/>
        </w:rPr>
      </w:pPr>
    </w:p>
    <w:p w14:paraId="33E3DCE3" w14:textId="5683F073" w:rsidR="00B20E43" w:rsidRPr="00221350" w:rsidRDefault="00DB646F" w:rsidP="00900E99">
      <w:pPr>
        <w:spacing w:before="60" w:after="60"/>
        <w:jc w:val="both"/>
        <w:rPr>
          <w:rFonts w:asciiTheme="majorHAnsi" w:hAnsiTheme="majorHAnsi" w:cstheme="majorHAnsi"/>
          <w:b/>
          <w:color w:val="17365D" w:themeColor="text2" w:themeShade="BF"/>
          <w:sz w:val="28"/>
          <w:szCs w:val="28"/>
        </w:rPr>
      </w:pPr>
      <w:r w:rsidRPr="00221350">
        <w:rPr>
          <w:rFonts w:asciiTheme="majorHAnsi" w:hAnsiTheme="majorHAnsi" w:cstheme="majorHAnsi"/>
          <w:b/>
          <w:color w:val="17365D" w:themeColor="text2" w:themeShade="BF"/>
          <w:sz w:val="28"/>
          <w:szCs w:val="28"/>
        </w:rPr>
        <w:t>Roles &amp; Responsibilities</w:t>
      </w:r>
    </w:p>
    <w:p w14:paraId="479DD073" w14:textId="77777777" w:rsidR="00867A76" w:rsidRPr="00221350" w:rsidRDefault="0058599A"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Managers/</w:t>
      </w:r>
      <w:r w:rsidR="00B20E43" w:rsidRPr="00221350">
        <w:rPr>
          <w:rFonts w:asciiTheme="majorHAnsi" w:hAnsiTheme="majorHAnsi" w:cstheme="majorHAnsi"/>
          <w:b/>
          <w:sz w:val="20"/>
          <w:szCs w:val="20"/>
        </w:rPr>
        <w:t>Supervisors are responsible for:</w:t>
      </w:r>
    </w:p>
    <w:p w14:paraId="0C529968" w14:textId="77777777" w:rsidR="0058599A" w:rsidRPr="00221350" w:rsidRDefault="0058599A" w:rsidP="00221350">
      <w:pPr>
        <w:pStyle w:val="ListParagraph"/>
        <w:numPr>
          <w:ilvl w:val="0"/>
          <w:numId w:val="14"/>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 xml:space="preserve">Providing adequate supervision of </w:t>
      </w:r>
      <w:r w:rsidR="00B855A7" w:rsidRPr="00221350">
        <w:rPr>
          <w:rFonts w:asciiTheme="majorHAnsi" w:hAnsiTheme="majorHAnsi" w:cstheme="majorHAnsi"/>
          <w:sz w:val="20"/>
          <w:szCs w:val="20"/>
        </w:rPr>
        <w:t>worker</w:t>
      </w:r>
      <w:r w:rsidRPr="00221350">
        <w:rPr>
          <w:rFonts w:asciiTheme="majorHAnsi" w:hAnsiTheme="majorHAnsi" w:cstheme="majorHAnsi"/>
          <w:sz w:val="20"/>
          <w:szCs w:val="20"/>
        </w:rPr>
        <w:t>s undertaking demolition and excavation work.</w:t>
      </w:r>
    </w:p>
    <w:p w14:paraId="57D3E526" w14:textId="08B43B73" w:rsidR="0058599A" w:rsidRPr="00221350" w:rsidRDefault="0058599A" w:rsidP="00221350">
      <w:pPr>
        <w:pStyle w:val="ListParagraph"/>
        <w:numPr>
          <w:ilvl w:val="0"/>
          <w:numId w:val="14"/>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 xml:space="preserve">Ensure risk assessments are carried out and recorded for all excavation and </w:t>
      </w:r>
      <w:r w:rsidR="007A0640" w:rsidRPr="00221350">
        <w:rPr>
          <w:rFonts w:asciiTheme="majorHAnsi" w:hAnsiTheme="majorHAnsi" w:cstheme="majorHAnsi"/>
          <w:sz w:val="20"/>
          <w:szCs w:val="20"/>
        </w:rPr>
        <w:t>demolition work</w:t>
      </w:r>
      <w:r w:rsidRPr="00221350">
        <w:rPr>
          <w:rFonts w:asciiTheme="majorHAnsi" w:hAnsiTheme="majorHAnsi" w:cstheme="majorHAnsi"/>
          <w:sz w:val="20"/>
          <w:szCs w:val="20"/>
        </w:rPr>
        <w:t xml:space="preserve"> undertaken by </w:t>
      </w:r>
      <w:r w:rsidR="00B855A7" w:rsidRPr="00221350">
        <w:rPr>
          <w:rFonts w:asciiTheme="majorHAnsi" w:hAnsiTheme="majorHAnsi" w:cstheme="majorHAnsi"/>
          <w:sz w:val="20"/>
          <w:szCs w:val="20"/>
        </w:rPr>
        <w:t>worker</w:t>
      </w:r>
      <w:r w:rsidRPr="00221350">
        <w:rPr>
          <w:rFonts w:asciiTheme="majorHAnsi" w:hAnsiTheme="majorHAnsi" w:cstheme="majorHAnsi"/>
          <w:sz w:val="20"/>
          <w:szCs w:val="20"/>
        </w:rPr>
        <w:t>s or contractors undertaking excavation or trenching</w:t>
      </w:r>
    </w:p>
    <w:p w14:paraId="770ACFBF" w14:textId="77777777" w:rsidR="001738EB" w:rsidRPr="00221350" w:rsidRDefault="001738EB" w:rsidP="00221350">
      <w:pPr>
        <w:pStyle w:val="ListParagraph"/>
        <w:numPr>
          <w:ilvl w:val="0"/>
          <w:numId w:val="14"/>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 xml:space="preserve">Ensure that </w:t>
      </w:r>
      <w:r w:rsidR="0019407F" w:rsidRPr="00221350">
        <w:rPr>
          <w:rFonts w:asciiTheme="majorHAnsi" w:hAnsiTheme="majorHAnsi" w:cstheme="majorHAnsi"/>
          <w:sz w:val="20"/>
          <w:szCs w:val="20"/>
        </w:rPr>
        <w:t xml:space="preserve">steps are taken to identify </w:t>
      </w:r>
      <w:r w:rsidRPr="00221350">
        <w:rPr>
          <w:rFonts w:asciiTheme="majorHAnsi" w:hAnsiTheme="majorHAnsi" w:cstheme="majorHAnsi"/>
          <w:sz w:val="20"/>
          <w:szCs w:val="20"/>
        </w:rPr>
        <w:t xml:space="preserve">underground essential services </w:t>
      </w:r>
      <w:r w:rsidR="0019407F" w:rsidRPr="00221350">
        <w:rPr>
          <w:rFonts w:asciiTheme="majorHAnsi" w:hAnsiTheme="majorHAnsi" w:cstheme="majorHAnsi"/>
          <w:sz w:val="20"/>
          <w:szCs w:val="20"/>
        </w:rPr>
        <w:t>prior to the commencement of any excavation works and information provided to any relevant person</w:t>
      </w:r>
    </w:p>
    <w:p w14:paraId="74D0D6A2" w14:textId="77777777" w:rsidR="005619AB" w:rsidRPr="00221350" w:rsidRDefault="001738EB" w:rsidP="00221350">
      <w:pPr>
        <w:pStyle w:val="ListParagraph"/>
        <w:tabs>
          <w:tab w:val="left" w:pos="7005"/>
        </w:tabs>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ab/>
      </w:r>
    </w:p>
    <w:p w14:paraId="0AC6F59F" w14:textId="77777777" w:rsidR="005619AB" w:rsidRPr="00221350" w:rsidRDefault="00470964" w:rsidP="00221350">
      <w:pPr>
        <w:pStyle w:val="ListParagraph"/>
        <w:spacing w:before="60" w:after="60" w:line="240" w:lineRule="auto"/>
        <w:ind w:left="0"/>
        <w:jc w:val="both"/>
        <w:rPr>
          <w:rFonts w:asciiTheme="majorHAnsi" w:hAnsiTheme="majorHAnsi" w:cstheme="majorHAnsi"/>
          <w:b/>
          <w:sz w:val="20"/>
          <w:szCs w:val="20"/>
        </w:rPr>
      </w:pPr>
      <w:r w:rsidRPr="00221350">
        <w:rPr>
          <w:rFonts w:asciiTheme="majorHAnsi" w:hAnsiTheme="majorHAnsi" w:cstheme="majorHAnsi"/>
          <w:b/>
          <w:sz w:val="20"/>
          <w:szCs w:val="20"/>
        </w:rPr>
        <w:t xml:space="preserve">Workers </w:t>
      </w:r>
      <w:r w:rsidR="00B20E43" w:rsidRPr="00221350">
        <w:rPr>
          <w:rFonts w:asciiTheme="majorHAnsi" w:hAnsiTheme="majorHAnsi" w:cstheme="majorHAnsi"/>
          <w:b/>
          <w:sz w:val="20"/>
          <w:szCs w:val="20"/>
        </w:rPr>
        <w:t>are responsible for:</w:t>
      </w:r>
    </w:p>
    <w:p w14:paraId="0DC9967A" w14:textId="77777777" w:rsidR="005619AB" w:rsidRPr="00221350" w:rsidRDefault="005619AB" w:rsidP="00221350">
      <w:pPr>
        <w:pStyle w:val="ListParagraph"/>
        <w:numPr>
          <w:ilvl w:val="0"/>
          <w:numId w:val="16"/>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Complying with all risk assessments and safe work method statements.</w:t>
      </w:r>
    </w:p>
    <w:p w14:paraId="099E8544" w14:textId="77777777" w:rsidR="005619AB" w:rsidRPr="00221350" w:rsidRDefault="005619AB" w:rsidP="00221350">
      <w:pPr>
        <w:pStyle w:val="ListParagraph"/>
        <w:numPr>
          <w:ilvl w:val="0"/>
          <w:numId w:val="16"/>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Participation on the conduct and preparation of risk assessments and SWMS</w:t>
      </w:r>
    </w:p>
    <w:p w14:paraId="216B24FF" w14:textId="77777777" w:rsidR="00507982" w:rsidRPr="00221350" w:rsidRDefault="00507982" w:rsidP="00221350">
      <w:pPr>
        <w:spacing w:before="60" w:after="60" w:line="240" w:lineRule="auto"/>
        <w:jc w:val="both"/>
        <w:rPr>
          <w:rFonts w:asciiTheme="majorHAnsi" w:hAnsiTheme="majorHAnsi" w:cstheme="majorHAnsi"/>
          <w:b/>
          <w:sz w:val="18"/>
          <w:szCs w:val="18"/>
        </w:rPr>
      </w:pPr>
    </w:p>
    <w:p w14:paraId="1EAC4039" w14:textId="51289962" w:rsidR="00DB646F" w:rsidRPr="00221350" w:rsidRDefault="00DB646F" w:rsidP="00900E99">
      <w:pPr>
        <w:autoSpaceDE w:val="0"/>
        <w:autoSpaceDN w:val="0"/>
        <w:adjustRightInd w:val="0"/>
        <w:spacing w:before="60" w:after="60"/>
        <w:jc w:val="both"/>
        <w:rPr>
          <w:rFonts w:asciiTheme="majorHAnsi" w:hAnsiTheme="majorHAnsi" w:cstheme="majorHAnsi"/>
          <w:b/>
          <w:bCs/>
          <w:color w:val="17365D" w:themeColor="text2" w:themeShade="BF"/>
          <w:sz w:val="28"/>
          <w:szCs w:val="28"/>
        </w:rPr>
      </w:pPr>
      <w:r w:rsidRPr="00221350">
        <w:rPr>
          <w:rFonts w:asciiTheme="majorHAnsi" w:hAnsiTheme="majorHAnsi" w:cstheme="majorHAnsi"/>
          <w:b/>
          <w:bCs/>
          <w:color w:val="17365D" w:themeColor="text2" w:themeShade="BF"/>
          <w:sz w:val="28"/>
          <w:szCs w:val="28"/>
        </w:rPr>
        <w:t>Procedure</w:t>
      </w:r>
    </w:p>
    <w:p w14:paraId="412CEB9C" w14:textId="77777777" w:rsidR="00603093" w:rsidRPr="00221350" w:rsidRDefault="00603093" w:rsidP="00221350">
      <w:pPr>
        <w:autoSpaceDE w:val="0"/>
        <w:autoSpaceDN w:val="0"/>
        <w:adjustRightInd w:val="0"/>
        <w:spacing w:before="60" w:after="60" w:line="240" w:lineRule="auto"/>
        <w:jc w:val="both"/>
        <w:rPr>
          <w:rFonts w:asciiTheme="majorHAnsi" w:hAnsiTheme="majorHAnsi" w:cstheme="majorHAnsi"/>
          <w:b/>
          <w:bCs/>
          <w:sz w:val="20"/>
          <w:szCs w:val="20"/>
        </w:rPr>
      </w:pPr>
      <w:r w:rsidRPr="00221350">
        <w:rPr>
          <w:rFonts w:asciiTheme="majorHAnsi" w:hAnsiTheme="majorHAnsi" w:cstheme="majorHAnsi"/>
          <w:b/>
          <w:bCs/>
          <w:sz w:val="20"/>
          <w:szCs w:val="20"/>
        </w:rPr>
        <w:t>Excavation work (including any work connected with an excavation) that is carried out in or near a shaft or trench with an excavated depth of greater than 1.5 metres, or a tunnel  is considered “high risk construction work”</w:t>
      </w:r>
      <w:r w:rsidR="00BE4086" w:rsidRPr="00221350">
        <w:rPr>
          <w:rFonts w:asciiTheme="majorHAnsi" w:hAnsiTheme="majorHAnsi" w:cstheme="majorHAnsi"/>
          <w:b/>
          <w:bCs/>
          <w:sz w:val="20"/>
          <w:szCs w:val="20"/>
        </w:rPr>
        <w:t xml:space="preserve"> and should meet all the requirements of high risk construction work.</w:t>
      </w:r>
    </w:p>
    <w:p w14:paraId="735789B3" w14:textId="77777777" w:rsidR="00FA2D64" w:rsidRPr="00221350" w:rsidRDefault="00FA2D64" w:rsidP="00221350">
      <w:pPr>
        <w:autoSpaceDE w:val="0"/>
        <w:autoSpaceDN w:val="0"/>
        <w:adjustRightInd w:val="0"/>
        <w:spacing w:before="60" w:after="60" w:line="240" w:lineRule="auto"/>
        <w:jc w:val="both"/>
        <w:rPr>
          <w:rFonts w:asciiTheme="majorHAnsi" w:hAnsiTheme="majorHAnsi" w:cstheme="majorHAnsi"/>
          <w:bCs/>
          <w:sz w:val="20"/>
          <w:szCs w:val="20"/>
        </w:rPr>
      </w:pPr>
    </w:p>
    <w:p w14:paraId="004A838E" w14:textId="77777777" w:rsidR="0058599A" w:rsidRPr="00221350" w:rsidRDefault="0058599A" w:rsidP="00221350">
      <w:pPr>
        <w:autoSpaceDE w:val="0"/>
        <w:autoSpaceDN w:val="0"/>
        <w:adjustRightInd w:val="0"/>
        <w:spacing w:before="60" w:after="60" w:line="240" w:lineRule="auto"/>
        <w:jc w:val="both"/>
        <w:rPr>
          <w:rFonts w:asciiTheme="majorHAnsi" w:hAnsiTheme="majorHAnsi" w:cstheme="majorHAnsi"/>
          <w:bCs/>
          <w:sz w:val="20"/>
          <w:szCs w:val="20"/>
        </w:rPr>
      </w:pPr>
      <w:r w:rsidRPr="00221350">
        <w:rPr>
          <w:rFonts w:asciiTheme="majorHAnsi" w:hAnsiTheme="majorHAnsi" w:cstheme="majorHAnsi"/>
          <w:bCs/>
          <w:sz w:val="20"/>
          <w:szCs w:val="20"/>
        </w:rPr>
        <w:t xml:space="preserve">All excavation work must be planned prior to commencement, in consultation with </w:t>
      </w:r>
      <w:r w:rsidR="0019407F" w:rsidRPr="00221350">
        <w:rPr>
          <w:rFonts w:asciiTheme="majorHAnsi" w:hAnsiTheme="majorHAnsi" w:cstheme="majorHAnsi"/>
          <w:bCs/>
          <w:sz w:val="20"/>
          <w:szCs w:val="20"/>
        </w:rPr>
        <w:t>workers and other duty holders</w:t>
      </w:r>
      <w:r w:rsidRPr="00221350">
        <w:rPr>
          <w:rFonts w:asciiTheme="majorHAnsi" w:hAnsiTheme="majorHAnsi" w:cstheme="majorHAnsi"/>
          <w:bCs/>
          <w:sz w:val="20"/>
          <w:szCs w:val="20"/>
        </w:rPr>
        <w:t>.</w:t>
      </w:r>
    </w:p>
    <w:p w14:paraId="45A584E0" w14:textId="05596F1E" w:rsidR="007A0640" w:rsidRDefault="007A0640">
      <w:pPr>
        <w:spacing w:after="0" w:line="240" w:lineRule="auto"/>
        <w:rPr>
          <w:rFonts w:asciiTheme="majorHAnsi" w:eastAsia="Times New Roman" w:hAnsiTheme="majorHAnsi" w:cstheme="majorHAnsi"/>
          <w:b/>
          <w:sz w:val="20"/>
          <w:szCs w:val="20"/>
          <w:lang w:eastAsia="en-AU"/>
        </w:rPr>
      </w:pPr>
      <w:r>
        <w:rPr>
          <w:rFonts w:asciiTheme="majorHAnsi" w:hAnsiTheme="majorHAnsi" w:cstheme="majorHAnsi"/>
          <w:b/>
        </w:rPr>
        <w:br w:type="page"/>
      </w:r>
    </w:p>
    <w:p w14:paraId="79E7583E" w14:textId="77777777" w:rsidR="00867A76" w:rsidRPr="00221350" w:rsidRDefault="00867A76" w:rsidP="00221350">
      <w:pPr>
        <w:pStyle w:val="Default"/>
        <w:spacing w:before="60" w:after="60"/>
        <w:jc w:val="both"/>
        <w:rPr>
          <w:rFonts w:asciiTheme="majorHAnsi" w:hAnsiTheme="majorHAnsi" w:cstheme="majorHAnsi"/>
          <w:b/>
        </w:rPr>
      </w:pPr>
      <w:r w:rsidRPr="00221350">
        <w:rPr>
          <w:rFonts w:asciiTheme="majorHAnsi" w:hAnsiTheme="majorHAnsi" w:cstheme="majorHAnsi"/>
          <w:b/>
        </w:rPr>
        <w:lastRenderedPageBreak/>
        <w:t>Site Investigation</w:t>
      </w:r>
    </w:p>
    <w:p w14:paraId="3B314D11" w14:textId="77777777" w:rsidR="00867A76" w:rsidRPr="00221350" w:rsidRDefault="00867A76"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color w:val="000000"/>
          <w:sz w:val="20"/>
          <w:szCs w:val="20"/>
        </w:rPr>
        <w:t>Before commencing work, information about the ground conditions at the work site is required. This may include information from previous work at the site, results of test bores, natural features and surface drainage.</w:t>
      </w:r>
      <w:r w:rsidR="0019407F" w:rsidRPr="00221350">
        <w:rPr>
          <w:rFonts w:asciiTheme="majorHAnsi" w:hAnsiTheme="majorHAnsi" w:cstheme="majorHAnsi"/>
          <w:color w:val="000000"/>
          <w:sz w:val="20"/>
          <w:szCs w:val="20"/>
        </w:rPr>
        <w:t xml:space="preserve"> This may also assist with identifying any additional hazards.</w:t>
      </w:r>
    </w:p>
    <w:p w14:paraId="53C54790" w14:textId="77777777" w:rsidR="00913B92" w:rsidRPr="00221350" w:rsidRDefault="00913B92" w:rsidP="00221350">
      <w:pPr>
        <w:spacing w:before="60" w:after="60" w:line="240" w:lineRule="auto"/>
        <w:jc w:val="both"/>
        <w:rPr>
          <w:rFonts w:asciiTheme="majorHAnsi" w:hAnsiTheme="majorHAnsi" w:cstheme="majorHAnsi"/>
          <w:b/>
          <w:color w:val="000000"/>
          <w:sz w:val="20"/>
          <w:szCs w:val="20"/>
        </w:rPr>
      </w:pPr>
    </w:p>
    <w:p w14:paraId="0A8337B3" w14:textId="77777777" w:rsidR="00867A76" w:rsidRPr="00221350" w:rsidRDefault="00867A76" w:rsidP="00221350">
      <w:pPr>
        <w:spacing w:before="60" w:after="60" w:line="240" w:lineRule="auto"/>
        <w:jc w:val="both"/>
        <w:rPr>
          <w:rFonts w:asciiTheme="majorHAnsi" w:hAnsiTheme="majorHAnsi" w:cstheme="majorHAnsi"/>
          <w:b/>
          <w:color w:val="000000"/>
          <w:sz w:val="20"/>
          <w:szCs w:val="20"/>
        </w:rPr>
      </w:pPr>
      <w:r w:rsidRPr="00221350">
        <w:rPr>
          <w:rFonts w:asciiTheme="majorHAnsi" w:hAnsiTheme="majorHAnsi" w:cstheme="majorHAnsi"/>
          <w:b/>
          <w:color w:val="000000"/>
          <w:sz w:val="20"/>
          <w:szCs w:val="20"/>
        </w:rPr>
        <w:t>Risk Management</w:t>
      </w:r>
    </w:p>
    <w:p w14:paraId="66FC7F1A" w14:textId="77777777" w:rsidR="00867A76" w:rsidRPr="00221350" w:rsidRDefault="00867A76" w:rsidP="00221350">
      <w:pPr>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Examine the area where the work is to be carried out, conduct a risk assessment and implement appropriate control measures.</w:t>
      </w:r>
    </w:p>
    <w:p w14:paraId="7FA507AC" w14:textId="77777777" w:rsidR="00603093" w:rsidRPr="00221350" w:rsidRDefault="00867A76" w:rsidP="00221350">
      <w:pPr>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 xml:space="preserve">The risk assessment should </w:t>
      </w:r>
      <w:r w:rsidR="00603093" w:rsidRPr="00221350">
        <w:rPr>
          <w:rFonts w:asciiTheme="majorHAnsi" w:hAnsiTheme="majorHAnsi" w:cstheme="majorHAnsi"/>
          <w:color w:val="000000"/>
          <w:sz w:val="20"/>
          <w:szCs w:val="20"/>
        </w:rPr>
        <w:t>first identify the hazards associated with excavation and then the adequacy of risk control measures.</w:t>
      </w:r>
      <w:r w:rsidR="0006715B" w:rsidRPr="00221350">
        <w:rPr>
          <w:rFonts w:asciiTheme="majorHAnsi" w:hAnsiTheme="majorHAnsi" w:cstheme="majorHAnsi"/>
          <w:color w:val="000000"/>
          <w:sz w:val="20"/>
          <w:szCs w:val="20"/>
        </w:rPr>
        <w:t xml:space="preserve"> </w:t>
      </w:r>
      <w:r w:rsidR="007408D7" w:rsidRPr="00221350">
        <w:rPr>
          <w:rFonts w:asciiTheme="majorHAnsi" w:hAnsiTheme="majorHAnsi" w:cstheme="majorHAnsi"/>
          <w:color w:val="000000"/>
          <w:sz w:val="20"/>
          <w:szCs w:val="20"/>
        </w:rPr>
        <w:t>Consultation with workers must occur w</w:t>
      </w:r>
      <w:r w:rsidR="0006715B" w:rsidRPr="00221350">
        <w:rPr>
          <w:rFonts w:asciiTheme="majorHAnsi" w:hAnsiTheme="majorHAnsi" w:cstheme="majorHAnsi"/>
          <w:color w:val="000000"/>
          <w:sz w:val="20"/>
          <w:szCs w:val="20"/>
        </w:rPr>
        <w:t>hen identifying hazards or implementing control measures</w:t>
      </w:r>
      <w:r w:rsidR="007408D7" w:rsidRPr="00221350">
        <w:rPr>
          <w:rFonts w:asciiTheme="majorHAnsi" w:hAnsiTheme="majorHAnsi" w:cstheme="majorHAnsi"/>
          <w:color w:val="000000"/>
          <w:sz w:val="20"/>
          <w:szCs w:val="20"/>
        </w:rPr>
        <w:t>.</w:t>
      </w:r>
    </w:p>
    <w:p w14:paraId="7E1184B4" w14:textId="77777777" w:rsidR="00867A76" w:rsidRPr="00221350" w:rsidRDefault="00603093" w:rsidP="00221350">
      <w:pPr>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 xml:space="preserve">When controlling the risks </w:t>
      </w:r>
      <w:r w:rsidR="00867A76" w:rsidRPr="00221350">
        <w:rPr>
          <w:rFonts w:asciiTheme="majorHAnsi" w:hAnsiTheme="majorHAnsi" w:cstheme="majorHAnsi"/>
          <w:color w:val="000000"/>
          <w:sz w:val="20"/>
          <w:szCs w:val="20"/>
        </w:rPr>
        <w:t>consider issues such as;</w:t>
      </w:r>
    </w:p>
    <w:p w14:paraId="011CE428" w14:textId="77777777" w:rsidR="0019407F" w:rsidRPr="00221350" w:rsidRDefault="0019407F" w:rsidP="00221350">
      <w:pPr>
        <w:pStyle w:val="ListParagraph"/>
        <w:numPr>
          <w:ilvl w:val="0"/>
          <w:numId w:val="13"/>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Use of excavator with rock breaker</w:t>
      </w:r>
    </w:p>
    <w:p w14:paraId="4C698243" w14:textId="77777777" w:rsidR="00FA2D64" w:rsidRPr="00221350" w:rsidRDefault="00FA2D64" w:rsidP="00221350">
      <w:pPr>
        <w:pStyle w:val="ListParagraph"/>
        <w:numPr>
          <w:ilvl w:val="0"/>
          <w:numId w:val="13"/>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Use of barriers</w:t>
      </w:r>
    </w:p>
    <w:p w14:paraId="06B712DF" w14:textId="77777777" w:rsidR="00867A76" w:rsidRPr="00221350" w:rsidRDefault="00867A76" w:rsidP="00221350">
      <w:pPr>
        <w:pStyle w:val="ListParagraph"/>
        <w:numPr>
          <w:ilvl w:val="0"/>
          <w:numId w:val="13"/>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Battering</w:t>
      </w:r>
    </w:p>
    <w:p w14:paraId="385B9B60" w14:textId="77777777" w:rsidR="00867A76" w:rsidRPr="00221350" w:rsidRDefault="00867A76" w:rsidP="00221350">
      <w:pPr>
        <w:pStyle w:val="ListParagraph"/>
        <w:numPr>
          <w:ilvl w:val="0"/>
          <w:numId w:val="13"/>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Ground support systems</w:t>
      </w:r>
    </w:p>
    <w:p w14:paraId="2D648BB7" w14:textId="77777777" w:rsidR="00867A76" w:rsidRPr="00221350" w:rsidRDefault="00867A76" w:rsidP="00221350">
      <w:pPr>
        <w:pStyle w:val="ListParagraph"/>
        <w:numPr>
          <w:ilvl w:val="0"/>
          <w:numId w:val="13"/>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Safe Work statements</w:t>
      </w:r>
    </w:p>
    <w:p w14:paraId="0550BD28" w14:textId="77777777" w:rsidR="00867A76" w:rsidRPr="00221350" w:rsidRDefault="00867A76" w:rsidP="00221350">
      <w:pPr>
        <w:pStyle w:val="ListParagraph"/>
        <w:numPr>
          <w:ilvl w:val="0"/>
          <w:numId w:val="13"/>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PPE</w:t>
      </w:r>
    </w:p>
    <w:p w14:paraId="05755A90" w14:textId="77777777" w:rsidR="00E673AC" w:rsidRPr="00221350" w:rsidRDefault="00E673AC" w:rsidP="00221350">
      <w:pPr>
        <w:pStyle w:val="Heading6"/>
        <w:spacing w:before="60" w:after="60"/>
        <w:jc w:val="both"/>
        <w:rPr>
          <w:rFonts w:asciiTheme="majorHAnsi" w:hAnsiTheme="majorHAnsi" w:cstheme="majorHAnsi"/>
          <w:b w:val="0"/>
          <w:sz w:val="20"/>
          <w:szCs w:val="20"/>
        </w:rPr>
      </w:pPr>
    </w:p>
    <w:p w14:paraId="021FEE2E" w14:textId="77777777" w:rsidR="00507982" w:rsidRPr="00221350" w:rsidRDefault="00E673AC" w:rsidP="00221350">
      <w:pPr>
        <w:pStyle w:val="Heading6"/>
        <w:spacing w:before="60" w:after="60"/>
        <w:jc w:val="both"/>
        <w:rPr>
          <w:rFonts w:asciiTheme="majorHAnsi" w:hAnsiTheme="majorHAnsi" w:cstheme="majorHAnsi"/>
          <w:sz w:val="20"/>
          <w:szCs w:val="20"/>
        </w:rPr>
      </w:pPr>
      <w:r w:rsidRPr="00221350">
        <w:rPr>
          <w:rFonts w:asciiTheme="majorHAnsi" w:hAnsiTheme="majorHAnsi" w:cstheme="majorHAnsi"/>
          <w:sz w:val="20"/>
          <w:szCs w:val="20"/>
        </w:rPr>
        <w:t>Trenching</w:t>
      </w:r>
    </w:p>
    <w:p w14:paraId="1E01001A" w14:textId="77777777" w:rsidR="00E673AC" w:rsidRPr="00221350" w:rsidRDefault="00E673AC" w:rsidP="00221350">
      <w:pPr>
        <w:spacing w:line="240" w:lineRule="auto"/>
        <w:jc w:val="both"/>
        <w:rPr>
          <w:rFonts w:asciiTheme="majorHAnsi" w:hAnsiTheme="majorHAnsi" w:cstheme="majorHAnsi"/>
          <w:sz w:val="20"/>
          <w:szCs w:val="20"/>
          <w:lang w:eastAsia="en-AU"/>
        </w:rPr>
      </w:pPr>
      <w:r w:rsidRPr="00221350">
        <w:rPr>
          <w:rFonts w:asciiTheme="majorHAnsi" w:hAnsiTheme="majorHAnsi" w:cstheme="majorHAnsi"/>
          <w:sz w:val="20"/>
          <w:szCs w:val="20"/>
          <w:lang w:eastAsia="en-AU"/>
        </w:rPr>
        <w:t>The risk of trenches collapsing must be minimised at all times, all trenches greater than 1.5m deep must have shoring, shearing or comparable method, benching or battering in place to minimise the risk of collapse. A geo</w:t>
      </w:r>
      <w:r w:rsidR="00542C6D" w:rsidRPr="00221350">
        <w:rPr>
          <w:rFonts w:asciiTheme="majorHAnsi" w:hAnsiTheme="majorHAnsi" w:cstheme="majorHAnsi"/>
          <w:sz w:val="20"/>
          <w:szCs w:val="20"/>
          <w:lang w:eastAsia="en-AU"/>
        </w:rPr>
        <w:t>technical engineer report must be obtained to confirm that the trench is stable and not required to be in place. No trenching should be unsupported without this report.</w:t>
      </w:r>
      <w:r w:rsidRPr="00221350">
        <w:rPr>
          <w:rFonts w:asciiTheme="majorHAnsi" w:hAnsiTheme="majorHAnsi" w:cstheme="majorHAnsi"/>
          <w:sz w:val="20"/>
          <w:szCs w:val="20"/>
          <w:lang w:eastAsia="en-AU"/>
        </w:rPr>
        <w:t xml:space="preserve"> </w:t>
      </w:r>
    </w:p>
    <w:p w14:paraId="276DB16D" w14:textId="77777777" w:rsidR="00FF0163" w:rsidRPr="00221350" w:rsidRDefault="00FF0163"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Security</w:t>
      </w:r>
    </w:p>
    <w:p w14:paraId="363C741F" w14:textId="77777777" w:rsidR="00FF0163" w:rsidRPr="00221350" w:rsidRDefault="00FF0163"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The work area must be secured to prevent unauthorised access at all times during the time there is excavations or trenching in progress. Unauthorised access includes other workers and members of the general public.</w:t>
      </w:r>
    </w:p>
    <w:p w14:paraId="483F94B7" w14:textId="77777777" w:rsidR="00FF0163" w:rsidRPr="00221350" w:rsidRDefault="00FF0163" w:rsidP="00221350">
      <w:pPr>
        <w:spacing w:before="60" w:after="60" w:line="240" w:lineRule="auto"/>
        <w:jc w:val="both"/>
        <w:rPr>
          <w:rFonts w:asciiTheme="majorHAnsi" w:hAnsiTheme="majorHAnsi" w:cstheme="majorHAnsi"/>
          <w:b/>
          <w:sz w:val="20"/>
          <w:szCs w:val="20"/>
        </w:rPr>
      </w:pPr>
    </w:p>
    <w:p w14:paraId="4A3906F3" w14:textId="77777777" w:rsidR="00FF0163" w:rsidRPr="00221350" w:rsidRDefault="00FF0163"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Dial before you dig</w:t>
      </w:r>
    </w:p>
    <w:p w14:paraId="08CC6349" w14:textId="77777777" w:rsidR="00FF0163" w:rsidRPr="00221350" w:rsidRDefault="00FF0163"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Information regarding underground services must be obtained prior to commencement of work. Information will be obtained by dialling 1100 Before You Dig or by obtaining underground service plans. All information will be provided to any Principal contractors, contractors, plant operators and workers. Information will be maintained on site at all times during excavation. Pot</w:t>
      </w:r>
      <w:r w:rsidR="0005779D" w:rsidRPr="00221350">
        <w:rPr>
          <w:rFonts w:asciiTheme="majorHAnsi" w:hAnsiTheme="majorHAnsi" w:cstheme="majorHAnsi"/>
          <w:sz w:val="20"/>
          <w:szCs w:val="20"/>
        </w:rPr>
        <w:t>ho</w:t>
      </w:r>
      <w:r w:rsidRPr="00221350">
        <w:rPr>
          <w:rFonts w:asciiTheme="majorHAnsi" w:hAnsiTheme="majorHAnsi" w:cstheme="majorHAnsi"/>
          <w:sz w:val="20"/>
          <w:szCs w:val="20"/>
        </w:rPr>
        <w:t>ling may be required to confirm accuracy of information.</w:t>
      </w:r>
    </w:p>
    <w:p w14:paraId="2409942E" w14:textId="77777777" w:rsidR="00FF0163" w:rsidRPr="00221350" w:rsidRDefault="00FF0163" w:rsidP="00221350">
      <w:pPr>
        <w:spacing w:before="60" w:after="60" w:line="240" w:lineRule="auto"/>
        <w:jc w:val="both"/>
        <w:rPr>
          <w:rFonts w:asciiTheme="majorHAnsi" w:hAnsiTheme="majorHAnsi" w:cstheme="majorHAnsi"/>
          <w:sz w:val="20"/>
          <w:szCs w:val="20"/>
        </w:rPr>
      </w:pPr>
    </w:p>
    <w:p w14:paraId="1E866614" w14:textId="77777777" w:rsidR="00EB47D5" w:rsidRPr="00221350" w:rsidRDefault="00867A76" w:rsidP="00221350">
      <w:pPr>
        <w:pStyle w:val="Heading6"/>
        <w:spacing w:before="60" w:after="60"/>
        <w:jc w:val="both"/>
        <w:rPr>
          <w:rFonts w:asciiTheme="majorHAnsi" w:hAnsiTheme="majorHAnsi" w:cstheme="majorHAnsi"/>
          <w:sz w:val="20"/>
          <w:szCs w:val="20"/>
        </w:rPr>
      </w:pPr>
      <w:r w:rsidRPr="00221350">
        <w:rPr>
          <w:rFonts w:asciiTheme="majorHAnsi" w:hAnsiTheme="majorHAnsi" w:cstheme="majorHAnsi"/>
          <w:sz w:val="20"/>
          <w:szCs w:val="20"/>
        </w:rPr>
        <w:t>Daily inspections</w:t>
      </w:r>
    </w:p>
    <w:p w14:paraId="2506DE0A" w14:textId="4733B2CA" w:rsidR="00EB47D5" w:rsidRPr="00221350" w:rsidRDefault="00EB47D5"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 xml:space="preserve">An inspection must be carried out at least once per day by a competent person to ensure that conditions at the site are safe and that the work is being performed in accordance with any relevant </w:t>
      </w:r>
      <w:r w:rsidR="007A0640" w:rsidRPr="00221350">
        <w:rPr>
          <w:rFonts w:asciiTheme="majorHAnsi" w:hAnsiTheme="majorHAnsi" w:cstheme="majorHAnsi"/>
          <w:sz w:val="20"/>
          <w:szCs w:val="20"/>
        </w:rPr>
        <w:t>engineer’s</w:t>
      </w:r>
      <w:r w:rsidRPr="00221350">
        <w:rPr>
          <w:rFonts w:asciiTheme="majorHAnsi" w:hAnsiTheme="majorHAnsi" w:cstheme="majorHAnsi"/>
          <w:sz w:val="20"/>
          <w:szCs w:val="20"/>
        </w:rPr>
        <w:t xml:space="preserve"> report. This should be documented and retained at the site until the completion of the work.</w:t>
      </w:r>
    </w:p>
    <w:p w14:paraId="1380F822" w14:textId="77777777" w:rsidR="00507982" w:rsidRPr="00221350" w:rsidRDefault="00507982" w:rsidP="00221350">
      <w:pPr>
        <w:pStyle w:val="Heading2"/>
        <w:spacing w:before="60" w:after="60"/>
        <w:rPr>
          <w:rFonts w:asciiTheme="majorHAnsi" w:hAnsiTheme="majorHAnsi" w:cstheme="majorHAnsi"/>
          <w:sz w:val="20"/>
        </w:rPr>
      </w:pPr>
    </w:p>
    <w:p w14:paraId="55BBE34D" w14:textId="77777777" w:rsidR="00EB47D5" w:rsidRPr="00221350" w:rsidRDefault="00867A76"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 xml:space="preserve">Documentation </w:t>
      </w:r>
    </w:p>
    <w:p w14:paraId="240BEE98" w14:textId="77777777" w:rsidR="00867A76" w:rsidRPr="00221350" w:rsidRDefault="00867A76" w:rsidP="00221350">
      <w:pPr>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sz w:val="20"/>
          <w:szCs w:val="20"/>
        </w:rPr>
        <w:t>T</w:t>
      </w:r>
      <w:r w:rsidRPr="00221350">
        <w:rPr>
          <w:rFonts w:asciiTheme="majorHAnsi" w:hAnsiTheme="majorHAnsi" w:cstheme="majorHAnsi"/>
          <w:color w:val="000000"/>
          <w:sz w:val="20"/>
          <w:szCs w:val="20"/>
        </w:rPr>
        <w:t>he following documentation must be kept at the site for all excavation and trenching work over 1.5 metres</w:t>
      </w:r>
    </w:p>
    <w:p w14:paraId="78CD0D17" w14:textId="77777777" w:rsidR="0005779D" w:rsidRPr="00221350" w:rsidRDefault="0005779D" w:rsidP="00221350">
      <w:pPr>
        <w:pStyle w:val="ListParagraph"/>
        <w:autoSpaceDE w:val="0"/>
        <w:autoSpaceDN w:val="0"/>
        <w:adjustRightInd w:val="0"/>
        <w:spacing w:before="60" w:after="60" w:line="240" w:lineRule="auto"/>
        <w:ind w:left="360"/>
        <w:jc w:val="both"/>
        <w:rPr>
          <w:rFonts w:asciiTheme="majorHAnsi" w:hAnsiTheme="majorHAnsi" w:cstheme="majorHAnsi"/>
          <w:color w:val="000000"/>
          <w:sz w:val="20"/>
          <w:szCs w:val="20"/>
        </w:rPr>
      </w:pPr>
    </w:p>
    <w:p w14:paraId="6D7C1D52" w14:textId="77777777" w:rsidR="0005779D" w:rsidRPr="00221350" w:rsidRDefault="0005779D" w:rsidP="00221350">
      <w:pPr>
        <w:pStyle w:val="ListParagraph"/>
        <w:numPr>
          <w:ilvl w:val="0"/>
          <w:numId w:val="11"/>
        </w:numPr>
        <w:autoSpaceDE w:val="0"/>
        <w:autoSpaceDN w:val="0"/>
        <w:adjustRightInd w:val="0"/>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WHS Management Plan (generally held by the principle contractor)</w:t>
      </w:r>
    </w:p>
    <w:p w14:paraId="4D7DB744" w14:textId="77777777" w:rsidR="00867A76" w:rsidRPr="00221350" w:rsidRDefault="00867A76" w:rsidP="00221350">
      <w:pPr>
        <w:pStyle w:val="ListParagraph"/>
        <w:numPr>
          <w:ilvl w:val="0"/>
          <w:numId w:val="11"/>
        </w:numPr>
        <w:autoSpaceDE w:val="0"/>
        <w:autoSpaceDN w:val="0"/>
        <w:adjustRightInd w:val="0"/>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Copy of engineer’s report</w:t>
      </w:r>
      <w:r w:rsidR="0003798A" w:rsidRPr="00221350">
        <w:rPr>
          <w:rFonts w:asciiTheme="majorHAnsi" w:hAnsiTheme="majorHAnsi" w:cstheme="majorHAnsi"/>
          <w:color w:val="000000"/>
          <w:sz w:val="20"/>
          <w:szCs w:val="20"/>
        </w:rPr>
        <w:t xml:space="preserve"> (if applicable)</w:t>
      </w:r>
    </w:p>
    <w:p w14:paraId="6AEC9BDE" w14:textId="77777777" w:rsidR="00867A76" w:rsidRPr="00221350" w:rsidRDefault="00867A76" w:rsidP="00221350">
      <w:pPr>
        <w:pStyle w:val="ListParagraph"/>
        <w:numPr>
          <w:ilvl w:val="0"/>
          <w:numId w:val="11"/>
        </w:numPr>
        <w:autoSpaceDE w:val="0"/>
        <w:autoSpaceDN w:val="0"/>
        <w:adjustRightInd w:val="0"/>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 xml:space="preserve">Copy of daily site inspections </w:t>
      </w:r>
    </w:p>
    <w:p w14:paraId="122490A2" w14:textId="77777777" w:rsidR="00867A76" w:rsidRPr="00221350" w:rsidRDefault="00867A76" w:rsidP="00221350">
      <w:pPr>
        <w:pStyle w:val="ListParagraph"/>
        <w:numPr>
          <w:ilvl w:val="0"/>
          <w:numId w:val="11"/>
        </w:numPr>
        <w:autoSpaceDE w:val="0"/>
        <w:autoSpaceDN w:val="0"/>
        <w:adjustRightInd w:val="0"/>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 xml:space="preserve">Copy of systems of work employed (work method statement, job safety analysis). </w:t>
      </w:r>
    </w:p>
    <w:p w14:paraId="1FCD496E" w14:textId="77777777" w:rsidR="00FF0163" w:rsidRPr="00221350" w:rsidRDefault="00FF0163" w:rsidP="00221350">
      <w:pPr>
        <w:pStyle w:val="ListParagraph"/>
        <w:numPr>
          <w:ilvl w:val="0"/>
          <w:numId w:val="11"/>
        </w:numPr>
        <w:autoSpaceDE w:val="0"/>
        <w:autoSpaceDN w:val="0"/>
        <w:adjustRightInd w:val="0"/>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 xml:space="preserve">Underground essential services </w:t>
      </w:r>
    </w:p>
    <w:p w14:paraId="2186CBBE" w14:textId="77777777" w:rsidR="00867A76" w:rsidRPr="00221350" w:rsidRDefault="00867A76" w:rsidP="00221350">
      <w:pPr>
        <w:autoSpaceDE w:val="0"/>
        <w:autoSpaceDN w:val="0"/>
        <w:adjustRightInd w:val="0"/>
        <w:spacing w:before="60" w:after="60" w:line="240" w:lineRule="auto"/>
        <w:jc w:val="both"/>
        <w:rPr>
          <w:rFonts w:asciiTheme="majorHAnsi" w:hAnsiTheme="majorHAnsi" w:cstheme="majorHAnsi"/>
          <w:color w:val="000000"/>
          <w:sz w:val="20"/>
          <w:szCs w:val="20"/>
        </w:rPr>
      </w:pPr>
    </w:p>
    <w:p w14:paraId="4B42F623" w14:textId="77777777" w:rsidR="00867A76" w:rsidRPr="00221350" w:rsidRDefault="00867A76"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Safe Work</w:t>
      </w:r>
      <w:r w:rsidR="00D829A8" w:rsidRPr="00221350">
        <w:rPr>
          <w:rFonts w:asciiTheme="majorHAnsi" w:hAnsiTheme="majorHAnsi" w:cstheme="majorHAnsi"/>
          <w:b/>
          <w:sz w:val="20"/>
          <w:szCs w:val="20"/>
        </w:rPr>
        <w:t xml:space="preserve"> Method Statements</w:t>
      </w:r>
    </w:p>
    <w:p w14:paraId="62E98CCE" w14:textId="77777777" w:rsidR="005619AB" w:rsidRPr="00221350" w:rsidRDefault="005619AB"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 xml:space="preserve">Safe work method statements should be prepared in accordance with </w:t>
      </w:r>
      <w:r w:rsidR="00FA2D64" w:rsidRPr="00221350">
        <w:rPr>
          <w:rFonts w:asciiTheme="majorHAnsi" w:hAnsiTheme="majorHAnsi" w:cstheme="majorHAnsi"/>
          <w:sz w:val="20"/>
          <w:szCs w:val="20"/>
        </w:rPr>
        <w:t>WHSPRO-201</w:t>
      </w:r>
      <w:r w:rsidRPr="00221350">
        <w:rPr>
          <w:rFonts w:asciiTheme="majorHAnsi" w:hAnsiTheme="majorHAnsi" w:cstheme="majorHAnsi"/>
          <w:sz w:val="20"/>
          <w:szCs w:val="20"/>
        </w:rPr>
        <w:t xml:space="preserve">, Preparation of Safe Work Method Statements and using </w:t>
      </w:r>
      <w:r w:rsidR="00FA2D64" w:rsidRPr="00221350">
        <w:rPr>
          <w:rFonts w:asciiTheme="majorHAnsi" w:hAnsiTheme="majorHAnsi" w:cstheme="majorHAnsi"/>
          <w:sz w:val="20"/>
          <w:szCs w:val="20"/>
        </w:rPr>
        <w:t>WHSFOR-201</w:t>
      </w:r>
      <w:r w:rsidRPr="00221350">
        <w:rPr>
          <w:rFonts w:asciiTheme="majorHAnsi" w:hAnsiTheme="majorHAnsi" w:cstheme="majorHAnsi"/>
          <w:sz w:val="20"/>
          <w:szCs w:val="20"/>
        </w:rPr>
        <w:t>. SWMS should be completed for all excavation work.</w:t>
      </w:r>
    </w:p>
    <w:p w14:paraId="34CBB0D9" w14:textId="77777777" w:rsidR="00867A76" w:rsidRPr="00221350" w:rsidRDefault="00867A76" w:rsidP="00221350">
      <w:pPr>
        <w:pStyle w:val="Heading2"/>
        <w:spacing w:before="60" w:after="60"/>
        <w:rPr>
          <w:rFonts w:asciiTheme="majorHAnsi" w:hAnsiTheme="majorHAnsi" w:cstheme="majorHAnsi"/>
          <w:sz w:val="20"/>
        </w:rPr>
      </w:pPr>
    </w:p>
    <w:p w14:paraId="054C51E6" w14:textId="77777777" w:rsidR="00867A76" w:rsidRPr="00221350" w:rsidRDefault="005619AB" w:rsidP="00221350">
      <w:pPr>
        <w:pStyle w:val="Heading2"/>
        <w:spacing w:before="60" w:after="60"/>
        <w:rPr>
          <w:rFonts w:asciiTheme="majorHAnsi" w:hAnsiTheme="majorHAnsi" w:cstheme="majorHAnsi"/>
          <w:sz w:val="20"/>
        </w:rPr>
      </w:pPr>
      <w:r w:rsidRPr="00221350">
        <w:rPr>
          <w:rFonts w:asciiTheme="majorHAnsi" w:hAnsiTheme="majorHAnsi" w:cstheme="majorHAnsi"/>
          <w:sz w:val="20"/>
        </w:rPr>
        <w:t>Training &amp; Instruction</w:t>
      </w:r>
    </w:p>
    <w:p w14:paraId="5BEE8898" w14:textId="77777777" w:rsidR="005619AB" w:rsidRPr="00221350" w:rsidRDefault="005619AB" w:rsidP="00221350">
      <w:pPr>
        <w:spacing w:before="60" w:after="60" w:line="240" w:lineRule="auto"/>
        <w:jc w:val="both"/>
        <w:rPr>
          <w:rFonts w:asciiTheme="majorHAnsi" w:hAnsiTheme="majorHAnsi" w:cstheme="majorHAnsi"/>
          <w:sz w:val="20"/>
          <w:szCs w:val="20"/>
          <w:lang w:eastAsia="en-AU"/>
        </w:rPr>
      </w:pPr>
      <w:r w:rsidRPr="00221350">
        <w:rPr>
          <w:rFonts w:asciiTheme="majorHAnsi" w:hAnsiTheme="majorHAnsi" w:cstheme="majorHAnsi"/>
          <w:sz w:val="20"/>
          <w:szCs w:val="20"/>
          <w:lang w:eastAsia="en-AU"/>
        </w:rPr>
        <w:t xml:space="preserve">All </w:t>
      </w:r>
      <w:r w:rsidR="00B855A7" w:rsidRPr="00221350">
        <w:rPr>
          <w:rFonts w:asciiTheme="majorHAnsi" w:hAnsiTheme="majorHAnsi" w:cstheme="majorHAnsi"/>
          <w:sz w:val="20"/>
          <w:szCs w:val="20"/>
          <w:lang w:eastAsia="en-AU"/>
        </w:rPr>
        <w:t>worker</w:t>
      </w:r>
      <w:r w:rsidRPr="00221350">
        <w:rPr>
          <w:rFonts w:asciiTheme="majorHAnsi" w:hAnsiTheme="majorHAnsi" w:cstheme="majorHAnsi"/>
          <w:sz w:val="20"/>
          <w:szCs w:val="20"/>
          <w:lang w:eastAsia="en-AU"/>
        </w:rPr>
        <w:t>s should be trained in the following areas prior to working on excavation work;</w:t>
      </w:r>
    </w:p>
    <w:p w14:paraId="68FB1738" w14:textId="77777777" w:rsidR="005619AB" w:rsidRPr="00221350" w:rsidRDefault="005619AB" w:rsidP="00221350">
      <w:pPr>
        <w:pStyle w:val="ListParagraph"/>
        <w:numPr>
          <w:ilvl w:val="0"/>
          <w:numId w:val="15"/>
        </w:numPr>
        <w:autoSpaceDE w:val="0"/>
        <w:autoSpaceDN w:val="0"/>
        <w:adjustRightInd w:val="0"/>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The work method to be used for the excavation or associat</w:t>
      </w:r>
      <w:r w:rsidR="00FF0163" w:rsidRPr="00221350">
        <w:rPr>
          <w:rFonts w:asciiTheme="majorHAnsi" w:hAnsiTheme="majorHAnsi" w:cstheme="majorHAnsi"/>
          <w:sz w:val="20"/>
          <w:szCs w:val="20"/>
        </w:rPr>
        <w:t xml:space="preserve">ed work and the manual handling </w:t>
      </w:r>
      <w:r w:rsidRPr="00221350">
        <w:rPr>
          <w:rFonts w:asciiTheme="majorHAnsi" w:hAnsiTheme="majorHAnsi" w:cstheme="majorHAnsi"/>
          <w:sz w:val="20"/>
          <w:szCs w:val="20"/>
        </w:rPr>
        <w:t>procedures for the work to be carried out.</w:t>
      </w:r>
    </w:p>
    <w:p w14:paraId="03B69DAF" w14:textId="77777777" w:rsidR="005619AB" w:rsidRPr="00221350" w:rsidRDefault="005619AB" w:rsidP="00221350">
      <w:pPr>
        <w:pStyle w:val="ListParagraph"/>
        <w:numPr>
          <w:ilvl w:val="0"/>
          <w:numId w:val="15"/>
        </w:numPr>
        <w:autoSpaceDE w:val="0"/>
        <w:autoSpaceDN w:val="0"/>
        <w:adjustRightInd w:val="0"/>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The content of the SWMS, including safety systems to be used.</w:t>
      </w:r>
    </w:p>
    <w:p w14:paraId="0FCBE9FD" w14:textId="77777777" w:rsidR="005619AB" w:rsidRPr="00221350" w:rsidRDefault="005619AB" w:rsidP="00221350">
      <w:pPr>
        <w:pStyle w:val="ListParagraph"/>
        <w:numPr>
          <w:ilvl w:val="0"/>
          <w:numId w:val="15"/>
        </w:numPr>
        <w:autoSpaceDE w:val="0"/>
        <w:autoSpaceDN w:val="0"/>
        <w:adjustRightInd w:val="0"/>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The correct use, care and storage of PPE, tools and equipment.</w:t>
      </w:r>
    </w:p>
    <w:p w14:paraId="1CDC5738" w14:textId="77777777" w:rsidR="005619AB" w:rsidRPr="00221350" w:rsidRDefault="005619AB" w:rsidP="00221350">
      <w:pPr>
        <w:pStyle w:val="ListParagraph"/>
        <w:numPr>
          <w:ilvl w:val="0"/>
          <w:numId w:val="15"/>
        </w:numPr>
        <w:autoSpaceDE w:val="0"/>
        <w:autoSpaceDN w:val="0"/>
        <w:adjustRightInd w:val="0"/>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The use of plant and associated equipment, including electrical safety and hazardous substances.</w:t>
      </w:r>
    </w:p>
    <w:p w14:paraId="4C0ABDAF" w14:textId="77777777" w:rsidR="005619AB" w:rsidRPr="00221350" w:rsidRDefault="005619AB" w:rsidP="00221350">
      <w:pPr>
        <w:pStyle w:val="ListParagraph"/>
        <w:numPr>
          <w:ilvl w:val="0"/>
          <w:numId w:val="15"/>
        </w:numPr>
        <w:autoSpaceDE w:val="0"/>
        <w:autoSpaceDN w:val="0"/>
        <w:adjustRightInd w:val="0"/>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To ensure familiarity with emergency and communication procedures.</w:t>
      </w:r>
    </w:p>
    <w:p w14:paraId="531BC135" w14:textId="77777777" w:rsidR="00EB47D5" w:rsidRPr="00221350" w:rsidRDefault="005619AB" w:rsidP="00221350">
      <w:pPr>
        <w:pStyle w:val="ListParagraph"/>
        <w:numPr>
          <w:ilvl w:val="0"/>
          <w:numId w:val="15"/>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Critical warning signs for collapse</w:t>
      </w:r>
    </w:p>
    <w:p w14:paraId="6ACFF7E7" w14:textId="77777777" w:rsidR="0003798A" w:rsidRPr="00221350" w:rsidRDefault="0003798A" w:rsidP="00221350">
      <w:pPr>
        <w:pStyle w:val="ListParagraph"/>
        <w:numPr>
          <w:ilvl w:val="0"/>
          <w:numId w:val="15"/>
        </w:num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General construction training</w:t>
      </w:r>
    </w:p>
    <w:p w14:paraId="4766371A" w14:textId="77777777" w:rsidR="00EB47D5" w:rsidRPr="00221350" w:rsidRDefault="00EB47D5" w:rsidP="00221350">
      <w:pPr>
        <w:spacing w:before="60" w:after="60" w:line="240" w:lineRule="auto"/>
        <w:jc w:val="both"/>
        <w:rPr>
          <w:rFonts w:asciiTheme="majorHAnsi" w:hAnsiTheme="majorHAnsi" w:cstheme="majorHAnsi"/>
          <w:sz w:val="20"/>
          <w:szCs w:val="20"/>
        </w:rPr>
      </w:pPr>
    </w:p>
    <w:p w14:paraId="375CC6B9" w14:textId="77777777" w:rsidR="00FF0163" w:rsidRPr="00221350" w:rsidRDefault="00FF0163" w:rsidP="00221350">
      <w:pPr>
        <w:spacing w:before="60" w:after="60"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 xml:space="preserve">Emergency Plans </w:t>
      </w:r>
    </w:p>
    <w:p w14:paraId="7D407EB8" w14:textId="77777777" w:rsidR="00FF0163" w:rsidRPr="00221350" w:rsidRDefault="00FF0163" w:rsidP="00221350">
      <w:pPr>
        <w:spacing w:before="60" w:after="60" w:line="240" w:lineRule="auto"/>
        <w:jc w:val="both"/>
        <w:rPr>
          <w:rFonts w:asciiTheme="majorHAnsi" w:hAnsiTheme="majorHAnsi" w:cstheme="majorHAnsi"/>
          <w:sz w:val="20"/>
          <w:szCs w:val="20"/>
        </w:rPr>
      </w:pPr>
      <w:r w:rsidRPr="00221350">
        <w:rPr>
          <w:rFonts w:asciiTheme="majorHAnsi" w:hAnsiTheme="majorHAnsi" w:cstheme="majorHAnsi"/>
          <w:sz w:val="20"/>
          <w:szCs w:val="20"/>
        </w:rPr>
        <w:t>An emergency plan will be prepared taking into consideration any foreseeable emergencies, including but not limited to; ground slip, flooding, gas leak and rescue of workers. The emergency plan will be included with overall emergency plans where there are more activities occurring.</w:t>
      </w:r>
    </w:p>
    <w:p w14:paraId="2E4A5F0B" w14:textId="77777777" w:rsidR="00A30063" w:rsidRPr="00221350" w:rsidRDefault="00A30063" w:rsidP="00221350">
      <w:pPr>
        <w:keepNext/>
        <w:spacing w:before="60" w:after="60" w:line="240" w:lineRule="auto"/>
        <w:jc w:val="both"/>
        <w:outlineLvl w:val="1"/>
        <w:rPr>
          <w:rFonts w:asciiTheme="majorHAnsi" w:eastAsia="Times New Roman" w:hAnsiTheme="majorHAnsi" w:cstheme="majorHAnsi"/>
          <w:b/>
          <w:sz w:val="20"/>
          <w:szCs w:val="20"/>
          <w:lang w:eastAsia="en-AU"/>
        </w:rPr>
      </w:pPr>
    </w:p>
    <w:p w14:paraId="762CE8C2" w14:textId="77777777" w:rsidR="00A30063" w:rsidRPr="00221350" w:rsidRDefault="00A30063" w:rsidP="00221350">
      <w:pPr>
        <w:keepNext/>
        <w:spacing w:before="60" w:after="60" w:line="240" w:lineRule="auto"/>
        <w:jc w:val="both"/>
        <w:outlineLvl w:val="1"/>
        <w:rPr>
          <w:rFonts w:asciiTheme="majorHAnsi" w:eastAsia="Times New Roman" w:hAnsiTheme="majorHAnsi" w:cstheme="majorHAnsi"/>
          <w:b/>
          <w:sz w:val="20"/>
          <w:szCs w:val="20"/>
          <w:lang w:eastAsia="en-AU"/>
        </w:rPr>
      </w:pPr>
      <w:r w:rsidRPr="00221350">
        <w:rPr>
          <w:rFonts w:asciiTheme="majorHAnsi" w:eastAsia="Times New Roman" w:hAnsiTheme="majorHAnsi" w:cstheme="majorHAnsi"/>
          <w:b/>
          <w:sz w:val="20"/>
          <w:szCs w:val="20"/>
          <w:lang w:eastAsia="en-AU"/>
        </w:rPr>
        <w:t>Excavations &amp; trenches less than 1.5 metres deep</w:t>
      </w:r>
    </w:p>
    <w:p w14:paraId="33EA4A6C" w14:textId="77777777" w:rsidR="00A30063" w:rsidRPr="00221350" w:rsidRDefault="00A30063" w:rsidP="00221350">
      <w:pPr>
        <w:spacing w:before="60" w:after="60" w:line="240" w:lineRule="auto"/>
        <w:jc w:val="both"/>
        <w:rPr>
          <w:rFonts w:asciiTheme="majorHAnsi" w:eastAsia="Times New Roman" w:hAnsiTheme="majorHAnsi" w:cstheme="majorHAnsi"/>
          <w:sz w:val="20"/>
          <w:szCs w:val="20"/>
          <w:lang w:eastAsia="en-AU"/>
        </w:rPr>
      </w:pPr>
      <w:r w:rsidRPr="00221350">
        <w:rPr>
          <w:rFonts w:asciiTheme="majorHAnsi" w:eastAsia="Times New Roman" w:hAnsiTheme="majorHAnsi" w:cstheme="majorHAnsi"/>
          <w:sz w:val="20"/>
          <w:szCs w:val="20"/>
          <w:lang w:eastAsia="en-AU"/>
        </w:rPr>
        <w:t>An engineer’s report is not required but should be considered if the risk assessment indicates the need. A risk assessment should be completed prior to commencement of work and should be retained at the site until completion.</w:t>
      </w:r>
    </w:p>
    <w:p w14:paraId="3E35D319" w14:textId="77777777" w:rsidR="00D829A8" w:rsidRPr="00221350" w:rsidRDefault="00D829A8" w:rsidP="00221350">
      <w:pPr>
        <w:spacing w:before="60" w:after="60" w:line="240" w:lineRule="auto"/>
        <w:jc w:val="both"/>
        <w:rPr>
          <w:rFonts w:asciiTheme="majorHAnsi" w:hAnsiTheme="majorHAnsi" w:cstheme="majorHAnsi"/>
          <w:sz w:val="18"/>
          <w:szCs w:val="18"/>
        </w:rPr>
      </w:pPr>
    </w:p>
    <w:p w14:paraId="66DFC8C7" w14:textId="1D9113CE" w:rsidR="00EA30AD" w:rsidRPr="00221350" w:rsidRDefault="00DB646F" w:rsidP="00900E99">
      <w:pPr>
        <w:spacing w:before="60" w:after="60"/>
        <w:ind w:left="142" w:hanging="142"/>
        <w:jc w:val="both"/>
        <w:rPr>
          <w:rFonts w:asciiTheme="majorHAnsi" w:hAnsiTheme="majorHAnsi" w:cstheme="majorHAnsi"/>
          <w:b/>
          <w:color w:val="17365D" w:themeColor="text2" w:themeShade="BF"/>
          <w:sz w:val="28"/>
          <w:szCs w:val="28"/>
        </w:rPr>
      </w:pPr>
      <w:r w:rsidRPr="00221350">
        <w:rPr>
          <w:rFonts w:asciiTheme="majorHAnsi" w:hAnsiTheme="majorHAnsi" w:cstheme="majorHAnsi"/>
          <w:b/>
          <w:color w:val="17365D" w:themeColor="text2" w:themeShade="BF"/>
          <w:sz w:val="28"/>
          <w:szCs w:val="28"/>
        </w:rPr>
        <w:t>References</w:t>
      </w:r>
    </w:p>
    <w:p w14:paraId="32266A16" w14:textId="77777777" w:rsidR="00507982" w:rsidRPr="00221350" w:rsidRDefault="00542C6D" w:rsidP="00221350">
      <w:pPr>
        <w:spacing w:before="60" w:after="60" w:line="240" w:lineRule="auto"/>
        <w:ind w:left="142" w:hanging="142"/>
        <w:jc w:val="both"/>
        <w:rPr>
          <w:rFonts w:asciiTheme="majorHAnsi" w:hAnsiTheme="majorHAnsi" w:cstheme="majorHAnsi"/>
          <w:sz w:val="20"/>
          <w:szCs w:val="20"/>
        </w:rPr>
      </w:pPr>
      <w:r w:rsidRPr="00221350">
        <w:rPr>
          <w:rFonts w:asciiTheme="majorHAnsi" w:hAnsiTheme="majorHAnsi" w:cstheme="majorHAnsi"/>
          <w:sz w:val="20"/>
          <w:szCs w:val="20"/>
        </w:rPr>
        <w:t>Work Health &amp; Safety Act 2012(SA)</w:t>
      </w:r>
    </w:p>
    <w:p w14:paraId="06C0A822" w14:textId="77777777" w:rsidR="00507982" w:rsidRPr="00221350" w:rsidRDefault="00542C6D" w:rsidP="00221350">
      <w:pPr>
        <w:spacing w:before="60" w:after="60" w:line="240" w:lineRule="auto"/>
        <w:ind w:left="142" w:hanging="142"/>
        <w:jc w:val="both"/>
        <w:rPr>
          <w:rFonts w:asciiTheme="majorHAnsi" w:hAnsiTheme="majorHAnsi" w:cstheme="majorHAnsi"/>
          <w:sz w:val="20"/>
          <w:szCs w:val="20"/>
        </w:rPr>
      </w:pPr>
      <w:r w:rsidRPr="00221350">
        <w:rPr>
          <w:rFonts w:asciiTheme="majorHAnsi" w:hAnsiTheme="majorHAnsi" w:cstheme="majorHAnsi"/>
          <w:sz w:val="20"/>
          <w:szCs w:val="20"/>
        </w:rPr>
        <w:t>Work Health &amp; Safety Regulations 2012 (SA) Reg 305 - 306</w:t>
      </w:r>
    </w:p>
    <w:p w14:paraId="27FEE789" w14:textId="77777777" w:rsidR="00867A76" w:rsidRPr="00221350" w:rsidRDefault="00867A76" w:rsidP="00221350">
      <w:pPr>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AS 4744.1 Steel Shoring &amp; Trench Lining Equipment Part 1: Design</w:t>
      </w:r>
    </w:p>
    <w:p w14:paraId="79053BAC" w14:textId="77777777" w:rsidR="00542C6D" w:rsidRPr="00221350" w:rsidRDefault="00542C6D" w:rsidP="00221350">
      <w:pPr>
        <w:spacing w:before="60" w:after="60" w:line="240" w:lineRule="auto"/>
        <w:jc w:val="both"/>
        <w:rPr>
          <w:rFonts w:asciiTheme="majorHAnsi" w:hAnsiTheme="majorHAnsi" w:cstheme="majorHAnsi"/>
          <w:color w:val="000000"/>
          <w:sz w:val="20"/>
          <w:szCs w:val="20"/>
        </w:rPr>
      </w:pPr>
      <w:r w:rsidRPr="00221350">
        <w:rPr>
          <w:rFonts w:asciiTheme="majorHAnsi" w:hAnsiTheme="majorHAnsi" w:cstheme="majorHAnsi"/>
          <w:color w:val="000000"/>
          <w:sz w:val="20"/>
          <w:szCs w:val="20"/>
        </w:rPr>
        <w:t>Code of Practice – Excavation Work (2011)</w:t>
      </w:r>
    </w:p>
    <w:p w14:paraId="58CF2B92" w14:textId="77777777" w:rsidR="00507982" w:rsidRPr="00221350" w:rsidRDefault="00507982" w:rsidP="00221350">
      <w:pPr>
        <w:spacing w:before="60" w:after="60" w:line="240" w:lineRule="auto"/>
        <w:jc w:val="both"/>
        <w:rPr>
          <w:rFonts w:asciiTheme="majorHAnsi" w:hAnsiTheme="majorHAnsi" w:cstheme="majorHAnsi"/>
          <w:b/>
          <w:color w:val="17365D" w:themeColor="text2" w:themeShade="BF"/>
          <w:sz w:val="18"/>
          <w:szCs w:val="18"/>
        </w:rPr>
      </w:pPr>
    </w:p>
    <w:p w14:paraId="61B17916" w14:textId="707F241F" w:rsidR="00DB646F" w:rsidRPr="00221350" w:rsidRDefault="00DB646F" w:rsidP="00900E99">
      <w:pPr>
        <w:spacing w:before="60" w:after="60"/>
        <w:jc w:val="both"/>
        <w:rPr>
          <w:rFonts w:asciiTheme="majorHAnsi" w:hAnsiTheme="majorHAnsi" w:cstheme="majorHAnsi"/>
          <w:b/>
          <w:color w:val="17365D" w:themeColor="text2" w:themeShade="BF"/>
          <w:sz w:val="28"/>
          <w:szCs w:val="28"/>
        </w:rPr>
      </w:pPr>
      <w:r w:rsidRPr="00221350">
        <w:rPr>
          <w:rFonts w:asciiTheme="majorHAnsi" w:hAnsiTheme="majorHAnsi" w:cstheme="majorHAnsi"/>
          <w:b/>
          <w:color w:val="17365D" w:themeColor="text2" w:themeShade="BF"/>
          <w:sz w:val="28"/>
          <w:szCs w:val="28"/>
        </w:rPr>
        <w:t>Forms</w:t>
      </w:r>
    </w:p>
    <w:p w14:paraId="6256CCD2" w14:textId="77777777" w:rsidR="001268B9" w:rsidRPr="00221350" w:rsidRDefault="003E6AD8" w:rsidP="00221350">
      <w:pPr>
        <w:spacing w:before="60" w:after="60" w:line="240" w:lineRule="auto"/>
        <w:jc w:val="both"/>
        <w:rPr>
          <w:rFonts w:asciiTheme="majorHAnsi" w:hAnsiTheme="majorHAnsi" w:cstheme="majorHAnsi"/>
          <w:b/>
          <w:sz w:val="18"/>
          <w:szCs w:val="18"/>
        </w:rPr>
      </w:pPr>
      <w:r w:rsidRPr="00221350">
        <w:rPr>
          <w:rFonts w:asciiTheme="majorHAnsi" w:hAnsiTheme="majorHAnsi" w:cstheme="majorHAnsi"/>
          <w:sz w:val="20"/>
          <w:szCs w:val="20"/>
        </w:rPr>
        <w:t xml:space="preserve">Safe Work Method Statements </w:t>
      </w:r>
      <w:r w:rsidR="008F67AC" w:rsidRPr="00221350">
        <w:rPr>
          <w:rFonts w:asciiTheme="majorHAnsi" w:hAnsiTheme="majorHAnsi" w:cstheme="majorHAnsi"/>
          <w:sz w:val="20"/>
          <w:szCs w:val="20"/>
        </w:rPr>
        <w:t>WHSFOR-201</w:t>
      </w:r>
    </w:p>
    <w:p w14:paraId="36FC7CAA" w14:textId="77777777" w:rsidR="008F67AC" w:rsidRPr="00221350" w:rsidRDefault="008F67AC" w:rsidP="00221350">
      <w:pPr>
        <w:spacing w:before="60" w:after="60" w:line="240" w:lineRule="auto"/>
        <w:jc w:val="both"/>
        <w:rPr>
          <w:rFonts w:asciiTheme="majorHAnsi" w:hAnsiTheme="majorHAnsi" w:cstheme="majorHAnsi"/>
          <w:b/>
          <w:sz w:val="18"/>
          <w:szCs w:val="18"/>
        </w:rPr>
      </w:pPr>
    </w:p>
    <w:p w14:paraId="58999F03" w14:textId="1876298F" w:rsidR="00DB646F" w:rsidRPr="00221350" w:rsidRDefault="00DB646F" w:rsidP="00900E99">
      <w:pPr>
        <w:spacing w:after="0" w:line="360" w:lineRule="auto"/>
        <w:jc w:val="both"/>
        <w:rPr>
          <w:rFonts w:asciiTheme="majorHAnsi" w:hAnsiTheme="majorHAnsi" w:cstheme="majorHAnsi"/>
          <w:b/>
          <w:color w:val="2E94FF"/>
          <w:sz w:val="28"/>
          <w:szCs w:val="28"/>
        </w:rPr>
      </w:pPr>
      <w:r w:rsidRPr="00221350">
        <w:rPr>
          <w:rFonts w:asciiTheme="majorHAnsi" w:hAnsiTheme="majorHAnsi" w:cstheme="majorHAnsi"/>
          <w:b/>
          <w:color w:val="17365D" w:themeColor="text2" w:themeShade="BF"/>
          <w:sz w:val="28"/>
          <w:szCs w:val="28"/>
        </w:rPr>
        <w:t>Authority</w:t>
      </w:r>
    </w:p>
    <w:p w14:paraId="4050A093" w14:textId="77777777" w:rsidR="00EC2EDC" w:rsidRPr="00221350" w:rsidRDefault="00EC2EDC" w:rsidP="00221350">
      <w:pPr>
        <w:spacing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Signature:</w:t>
      </w:r>
    </w:p>
    <w:p w14:paraId="702CF194" w14:textId="60A1F36F" w:rsidR="00EC2EDC" w:rsidRPr="00221350" w:rsidRDefault="00EC2EDC" w:rsidP="00221350">
      <w:pPr>
        <w:spacing w:line="240" w:lineRule="auto"/>
        <w:jc w:val="both"/>
        <w:rPr>
          <w:rFonts w:asciiTheme="majorHAnsi" w:hAnsiTheme="majorHAnsi" w:cstheme="majorHAnsi"/>
          <w:b/>
          <w:sz w:val="20"/>
          <w:szCs w:val="20"/>
        </w:rPr>
      </w:pPr>
      <w:r w:rsidRPr="00221350">
        <w:rPr>
          <w:rFonts w:asciiTheme="majorHAnsi" w:hAnsiTheme="majorHAnsi" w:cstheme="majorHAnsi"/>
          <w:b/>
          <w:sz w:val="20"/>
          <w:szCs w:val="20"/>
        </w:rPr>
        <w:t xml:space="preserve">Authorised by: </w:t>
      </w:r>
      <w:r w:rsidRPr="00221350">
        <w:rPr>
          <w:rFonts w:asciiTheme="majorHAnsi" w:hAnsiTheme="majorHAnsi" w:cstheme="majorHAnsi"/>
          <w:sz w:val="20"/>
          <w:szCs w:val="20"/>
        </w:rPr>
        <w:t>${</w:t>
      </w:r>
      <w:r w:rsidR="007A0640" w:rsidRPr="00221350">
        <w:rPr>
          <w:rFonts w:asciiTheme="majorHAnsi" w:hAnsiTheme="majorHAnsi" w:cstheme="majorHAnsi"/>
          <w:sz w:val="20"/>
          <w:szCs w:val="20"/>
        </w:rPr>
        <w:t>officer}</w:t>
      </w:r>
      <w:r w:rsidR="007A0640" w:rsidRPr="00221350">
        <w:rPr>
          <w:rFonts w:asciiTheme="majorHAnsi" w:hAnsiTheme="majorHAnsi" w:cstheme="majorHAnsi"/>
          <w:b/>
          <w:sz w:val="20"/>
          <w:szCs w:val="20"/>
        </w:rPr>
        <w:t xml:space="preserve">  </w:t>
      </w:r>
      <w:r w:rsidRPr="00221350">
        <w:rPr>
          <w:rFonts w:asciiTheme="majorHAnsi" w:hAnsiTheme="majorHAnsi" w:cstheme="majorHAnsi"/>
          <w:b/>
          <w:sz w:val="20"/>
          <w:szCs w:val="20"/>
        </w:rPr>
        <w:t xml:space="preserve">           Title: </w:t>
      </w:r>
      <w:r w:rsidRPr="00221350">
        <w:rPr>
          <w:rFonts w:asciiTheme="majorHAnsi" w:hAnsiTheme="majorHAnsi" w:cstheme="majorHAnsi"/>
          <w:sz w:val="20"/>
          <w:szCs w:val="20"/>
        </w:rPr>
        <w:t>${role}</w:t>
      </w:r>
    </w:p>
    <w:p w14:paraId="073CB43A" w14:textId="77777777" w:rsidR="001268B9" w:rsidRPr="00221350" w:rsidRDefault="00EC2EDC" w:rsidP="00221350">
      <w:pPr>
        <w:spacing w:line="240" w:lineRule="auto"/>
        <w:jc w:val="both"/>
        <w:rPr>
          <w:rFonts w:asciiTheme="majorHAnsi" w:hAnsiTheme="majorHAnsi" w:cstheme="majorHAnsi"/>
          <w:b/>
          <w:sz w:val="18"/>
          <w:szCs w:val="18"/>
        </w:rPr>
      </w:pPr>
      <w:r w:rsidRPr="00221350">
        <w:rPr>
          <w:rFonts w:asciiTheme="majorHAnsi" w:hAnsiTheme="majorHAnsi" w:cstheme="majorHAnsi"/>
          <w:b/>
          <w:sz w:val="20"/>
          <w:szCs w:val="20"/>
        </w:rPr>
        <w:t xml:space="preserve">Date: </w:t>
      </w:r>
      <w:r w:rsidRPr="00221350">
        <w:rPr>
          <w:rFonts w:asciiTheme="majorHAnsi" w:hAnsiTheme="majorHAnsi" w:cstheme="majorHAnsi"/>
          <w:sz w:val="20"/>
          <w:szCs w:val="20"/>
        </w:rPr>
        <w:t>${date}</w:t>
      </w:r>
      <w:r w:rsidRPr="00221350">
        <w:rPr>
          <w:rFonts w:asciiTheme="majorHAnsi" w:hAnsiTheme="majorHAnsi" w:cstheme="majorHAnsi"/>
          <w:b/>
          <w:sz w:val="20"/>
          <w:szCs w:val="20"/>
        </w:rPr>
        <w:tab/>
      </w:r>
      <w:r w:rsidR="001268B9" w:rsidRPr="00221350">
        <w:rPr>
          <w:rFonts w:asciiTheme="majorHAnsi" w:hAnsiTheme="majorHAnsi" w:cstheme="majorHAnsi"/>
          <w:b/>
          <w:sz w:val="18"/>
          <w:szCs w:val="18"/>
        </w:rPr>
        <w:tab/>
      </w:r>
    </w:p>
    <w:p w14:paraId="3EDAD97B" w14:textId="77777777" w:rsidR="00EB47D5" w:rsidRPr="00221350" w:rsidRDefault="00EB47D5" w:rsidP="00DB646F">
      <w:pPr>
        <w:spacing w:before="60" w:after="60" w:line="240" w:lineRule="auto"/>
        <w:ind w:left="709" w:hanging="709"/>
        <w:jc w:val="both"/>
        <w:rPr>
          <w:rFonts w:asciiTheme="majorHAnsi" w:hAnsiTheme="majorHAnsi" w:cstheme="majorHAnsi"/>
          <w:sz w:val="18"/>
          <w:szCs w:val="18"/>
        </w:rPr>
      </w:pPr>
    </w:p>
    <w:sectPr w:rsidR="00EB47D5" w:rsidRPr="00221350" w:rsidSect="000B18A3">
      <w:headerReference w:type="even" r:id="rId8"/>
      <w:headerReference w:type="default" r:id="rId9"/>
      <w:footerReference w:type="even" r:id="rId10"/>
      <w:footerReference w:type="default" r:id="rId11"/>
      <w:headerReference w:type="first" r:id="rId12"/>
      <w:footerReference w:type="first" r:id="rId13"/>
      <w:pgSz w:w="11906" w:h="16838"/>
      <w:pgMar w:top="1134" w:right="1247" w:bottom="851" w:left="1247"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3D55" w14:textId="77777777" w:rsidR="00AC38A9" w:rsidRDefault="00AC38A9" w:rsidP="006419CA">
      <w:pPr>
        <w:spacing w:after="0" w:line="240" w:lineRule="auto"/>
      </w:pPr>
      <w:r>
        <w:separator/>
      </w:r>
    </w:p>
  </w:endnote>
  <w:endnote w:type="continuationSeparator" w:id="0">
    <w:p w14:paraId="721F3CA6" w14:textId="77777777" w:rsidR="00AC38A9" w:rsidRDefault="00AC38A9"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DAB6" w14:textId="77777777" w:rsidR="00AA3B44" w:rsidRDefault="00AA3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C034" w14:textId="61262118" w:rsidR="00007E8C" w:rsidRPr="00AA3B44" w:rsidRDefault="00F245E6" w:rsidP="00DB646F">
    <w:pPr>
      <w:pStyle w:val="Footer"/>
      <w:tabs>
        <w:tab w:val="clear" w:pos="9026"/>
        <w:tab w:val="right" w:pos="9498"/>
      </w:tabs>
      <w:rPr>
        <w:rFonts w:asciiTheme="majorHAnsi" w:hAnsiTheme="majorHAnsi" w:cstheme="majorHAnsi"/>
        <w:sz w:val="16"/>
        <w:szCs w:val="16"/>
      </w:rPr>
    </w:pPr>
    <w:r w:rsidRPr="00AA3B44">
      <w:rPr>
        <w:rFonts w:asciiTheme="majorHAnsi" w:hAnsiTheme="majorHAnsi" w:cstheme="majorHAnsi"/>
        <w:sz w:val="16"/>
        <w:szCs w:val="16"/>
      </w:rPr>
      <w:t>Excavation Procedure</w:t>
    </w:r>
    <w:r w:rsidR="00DB646F" w:rsidRPr="00AA3B44">
      <w:rPr>
        <w:rFonts w:asciiTheme="majorHAnsi" w:hAnsiTheme="majorHAnsi" w:cstheme="majorHAnsi"/>
        <w:sz w:val="16"/>
        <w:szCs w:val="16"/>
      </w:rPr>
      <w:t xml:space="preserve"> V2.0</w:t>
    </w:r>
    <w:r w:rsidR="00DB646F" w:rsidRPr="00AA3B44">
      <w:rPr>
        <w:rFonts w:asciiTheme="majorHAnsi" w:hAnsiTheme="majorHAnsi" w:cstheme="majorHAnsi"/>
        <w:sz w:val="16"/>
        <w:szCs w:val="16"/>
      </w:rPr>
      <w:tab/>
    </w:r>
    <w:r w:rsidR="00DB646F" w:rsidRPr="00AA3B44">
      <w:rPr>
        <w:rFonts w:asciiTheme="majorHAnsi" w:hAnsiTheme="majorHAnsi" w:cstheme="majorHAnsi"/>
        <w:sz w:val="16"/>
        <w:szCs w:val="16"/>
      </w:rPr>
      <w:tab/>
      <w:t xml:space="preserve">This document forms part of the </w:t>
    </w:r>
    <w:r w:rsidR="00DB646F" w:rsidRPr="00AA3B44">
      <w:rPr>
        <w:rFonts w:asciiTheme="majorHAnsi" w:hAnsiTheme="majorHAnsi" w:cstheme="majorHAnsi"/>
        <w:b/>
        <w:sz w:val="16"/>
        <w:szCs w:val="16"/>
      </w:rPr>
      <w:t>SMART</w:t>
    </w:r>
    <w:r w:rsidR="00DB646F" w:rsidRPr="00AA3B44">
      <w:rPr>
        <w:rFonts w:asciiTheme="majorHAnsi" w:hAnsiTheme="majorHAnsi" w:cstheme="majorHAnsi"/>
        <w:sz w:val="16"/>
        <w:szCs w:val="16"/>
      </w:rPr>
      <w:t>KIT</w:t>
    </w:r>
  </w:p>
  <w:p w14:paraId="20E77AB2" w14:textId="77777777" w:rsidR="00DB646F" w:rsidRPr="00AA3B44" w:rsidRDefault="00F436F6" w:rsidP="00DB646F">
    <w:pPr>
      <w:pStyle w:val="Footer"/>
      <w:tabs>
        <w:tab w:val="clear" w:pos="9026"/>
        <w:tab w:val="right" w:pos="9498"/>
      </w:tabs>
      <w:rPr>
        <w:rFonts w:asciiTheme="majorHAnsi" w:hAnsiTheme="majorHAnsi" w:cstheme="majorHAnsi"/>
        <w:sz w:val="16"/>
        <w:szCs w:val="16"/>
      </w:rPr>
    </w:pPr>
    <w:r w:rsidRPr="00AA3B44">
      <w:rPr>
        <w:rFonts w:asciiTheme="majorHAnsi" w:hAnsiTheme="majorHAnsi" w:cstheme="majorHAnsi"/>
        <w:sz w:val="16"/>
        <w:szCs w:val="16"/>
      </w:rPr>
      <w:t>Issue Date</w:t>
    </w:r>
    <w:r w:rsidR="00EC2EDC" w:rsidRPr="00AA3B44">
      <w:rPr>
        <w:rFonts w:asciiTheme="majorHAnsi" w:hAnsiTheme="majorHAnsi" w:cstheme="majorHAnsi"/>
        <w:sz w:val="16"/>
        <w:szCs w:val="16"/>
      </w:rPr>
      <w:t>${date}</w:t>
    </w:r>
    <w:r w:rsidR="00DB646F" w:rsidRPr="00AA3B44">
      <w:rPr>
        <w:rFonts w:asciiTheme="majorHAnsi" w:hAnsiTheme="majorHAnsi" w:cstheme="majorHAnsi"/>
        <w:sz w:val="16"/>
        <w:szCs w:val="16"/>
      </w:rPr>
      <w:tab/>
    </w:r>
    <w:r w:rsidR="00DB646F" w:rsidRPr="00AA3B44">
      <w:rPr>
        <w:rFonts w:asciiTheme="majorHAnsi" w:hAnsiTheme="majorHAnsi" w:cstheme="majorHAnsi"/>
        <w:sz w:val="16"/>
        <w:szCs w:val="16"/>
      </w:rPr>
      <w:tab/>
      <w:t xml:space="preserve">Page </w:t>
    </w:r>
    <w:r w:rsidR="00DB646F" w:rsidRPr="00AA3B44">
      <w:rPr>
        <w:rFonts w:asciiTheme="majorHAnsi" w:hAnsiTheme="majorHAnsi" w:cstheme="majorHAnsi"/>
        <w:b/>
        <w:sz w:val="16"/>
        <w:szCs w:val="16"/>
      </w:rPr>
      <w:fldChar w:fldCharType="begin"/>
    </w:r>
    <w:r w:rsidR="00DB646F" w:rsidRPr="00AA3B44">
      <w:rPr>
        <w:rFonts w:asciiTheme="majorHAnsi" w:hAnsiTheme="majorHAnsi" w:cstheme="majorHAnsi"/>
        <w:b/>
        <w:sz w:val="16"/>
        <w:szCs w:val="16"/>
      </w:rPr>
      <w:instrText xml:space="preserve"> PAGE </w:instrText>
    </w:r>
    <w:r w:rsidR="00DB646F" w:rsidRPr="00AA3B44">
      <w:rPr>
        <w:rFonts w:asciiTheme="majorHAnsi" w:hAnsiTheme="majorHAnsi" w:cstheme="majorHAnsi"/>
        <w:b/>
        <w:sz w:val="16"/>
        <w:szCs w:val="16"/>
      </w:rPr>
      <w:fldChar w:fldCharType="separate"/>
    </w:r>
    <w:r w:rsidR="00913B92" w:rsidRPr="00AA3B44">
      <w:rPr>
        <w:rFonts w:asciiTheme="majorHAnsi" w:hAnsiTheme="majorHAnsi" w:cstheme="majorHAnsi"/>
        <w:b/>
        <w:noProof/>
        <w:sz w:val="16"/>
        <w:szCs w:val="16"/>
      </w:rPr>
      <w:t>1</w:t>
    </w:r>
    <w:r w:rsidR="00DB646F" w:rsidRPr="00AA3B44">
      <w:rPr>
        <w:rFonts w:asciiTheme="majorHAnsi" w:hAnsiTheme="majorHAnsi" w:cstheme="majorHAnsi"/>
        <w:b/>
        <w:sz w:val="16"/>
        <w:szCs w:val="16"/>
      </w:rPr>
      <w:fldChar w:fldCharType="end"/>
    </w:r>
    <w:r w:rsidR="00DB646F" w:rsidRPr="00AA3B44">
      <w:rPr>
        <w:rFonts w:asciiTheme="majorHAnsi" w:hAnsiTheme="majorHAnsi" w:cstheme="majorHAnsi"/>
        <w:sz w:val="16"/>
        <w:szCs w:val="16"/>
      </w:rPr>
      <w:t xml:space="preserve"> of </w:t>
    </w:r>
    <w:r w:rsidR="00DB646F" w:rsidRPr="00AA3B44">
      <w:rPr>
        <w:rFonts w:asciiTheme="majorHAnsi" w:hAnsiTheme="majorHAnsi" w:cstheme="majorHAnsi"/>
        <w:b/>
        <w:sz w:val="16"/>
        <w:szCs w:val="16"/>
      </w:rPr>
      <w:fldChar w:fldCharType="begin"/>
    </w:r>
    <w:r w:rsidR="00DB646F" w:rsidRPr="00AA3B44">
      <w:rPr>
        <w:rFonts w:asciiTheme="majorHAnsi" w:hAnsiTheme="majorHAnsi" w:cstheme="majorHAnsi"/>
        <w:b/>
        <w:sz w:val="16"/>
        <w:szCs w:val="16"/>
      </w:rPr>
      <w:instrText xml:space="preserve"> NUMPAGES  </w:instrText>
    </w:r>
    <w:r w:rsidR="00DB646F" w:rsidRPr="00AA3B44">
      <w:rPr>
        <w:rFonts w:asciiTheme="majorHAnsi" w:hAnsiTheme="majorHAnsi" w:cstheme="majorHAnsi"/>
        <w:b/>
        <w:sz w:val="16"/>
        <w:szCs w:val="16"/>
      </w:rPr>
      <w:fldChar w:fldCharType="separate"/>
    </w:r>
    <w:r w:rsidR="00913B92" w:rsidRPr="00AA3B44">
      <w:rPr>
        <w:rFonts w:asciiTheme="majorHAnsi" w:hAnsiTheme="majorHAnsi" w:cstheme="majorHAnsi"/>
        <w:b/>
        <w:noProof/>
        <w:sz w:val="16"/>
        <w:szCs w:val="16"/>
      </w:rPr>
      <w:t>3</w:t>
    </w:r>
    <w:r w:rsidR="00DB646F" w:rsidRPr="00AA3B44">
      <w:rPr>
        <w:rFonts w:asciiTheme="majorHAnsi" w:hAnsiTheme="majorHAnsi" w:cstheme="majorHAnsi"/>
        <w:b/>
        <w:sz w:val="16"/>
        <w:szCs w:val="16"/>
      </w:rPr>
      <w:fldChar w:fldCharType="end"/>
    </w:r>
  </w:p>
  <w:p w14:paraId="7E892768" w14:textId="77777777" w:rsidR="00007E8C" w:rsidRPr="00AA3B44" w:rsidRDefault="00F436F6">
    <w:pPr>
      <w:pStyle w:val="Footer"/>
      <w:rPr>
        <w:rFonts w:asciiTheme="majorHAnsi" w:hAnsiTheme="majorHAnsi" w:cstheme="majorHAnsi"/>
        <w:sz w:val="16"/>
        <w:szCs w:val="16"/>
      </w:rPr>
    </w:pPr>
    <w:r w:rsidRPr="00AA3B44">
      <w:rPr>
        <w:rFonts w:asciiTheme="majorHAnsi" w:hAnsiTheme="majorHAnsi" w:cstheme="majorHAnsi"/>
        <w:sz w:val="16"/>
        <w:szCs w:val="16"/>
      </w:rPr>
      <w:t xml:space="preserve">Review Date </w:t>
    </w:r>
    <w:r w:rsidR="00EC2EDC" w:rsidRPr="00AA3B44">
      <w:rPr>
        <w:rFonts w:asciiTheme="majorHAnsi" w:hAnsiTheme="majorHAnsi" w:cstheme="majorHAnsi"/>
        <w:sz w:val="16"/>
        <w:szCs w:val="16"/>
      </w:rPr>
      <w:t>${review}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AFB1" w14:textId="77777777" w:rsidR="00AA3B44" w:rsidRDefault="00AA3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AEC4" w14:textId="77777777" w:rsidR="00AC38A9" w:rsidRDefault="00AC38A9" w:rsidP="006419CA">
      <w:pPr>
        <w:spacing w:after="0" w:line="240" w:lineRule="auto"/>
      </w:pPr>
      <w:r>
        <w:separator/>
      </w:r>
    </w:p>
  </w:footnote>
  <w:footnote w:type="continuationSeparator" w:id="0">
    <w:p w14:paraId="62D254AF" w14:textId="77777777" w:rsidR="00AC38A9" w:rsidRDefault="00AC38A9"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BFA" w14:textId="77777777" w:rsidR="00AA3B44" w:rsidRDefault="00AA3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7795" w14:textId="3B500418" w:rsidR="006419CA" w:rsidRPr="00221350" w:rsidRDefault="00EC2EDC" w:rsidP="007E3954">
    <w:pPr>
      <w:pStyle w:val="Header"/>
      <w:tabs>
        <w:tab w:val="clear" w:pos="4513"/>
        <w:tab w:val="clear" w:pos="9026"/>
        <w:tab w:val="center" w:pos="4706"/>
        <w:tab w:val="right" w:pos="9412"/>
      </w:tabs>
      <w:rPr>
        <w:rFonts w:asciiTheme="majorHAnsi" w:hAnsiTheme="majorHAnsi" w:cstheme="majorHAnsi"/>
        <w:sz w:val="18"/>
        <w:szCs w:val="18"/>
      </w:rPr>
    </w:pPr>
    <w:r w:rsidRPr="00221350">
      <w:rPr>
        <w:rFonts w:asciiTheme="majorHAnsi" w:hAnsiTheme="majorHAnsi" w:cstheme="majorHAnsi"/>
        <w:sz w:val="18"/>
        <w:szCs w:val="18"/>
      </w:rPr>
      <w:t>${legalname}</w:t>
    </w:r>
    <w:r w:rsidR="007E3954" w:rsidRPr="00221350">
      <w:rPr>
        <w:rFonts w:asciiTheme="majorHAnsi" w:hAnsiTheme="majorHAnsi" w:cstheme="majorHAnsi"/>
        <w:sz w:val="18"/>
        <w:szCs w:val="18"/>
      </w:rPr>
      <w:tab/>
    </w:r>
    <w:r w:rsidR="007E3954" w:rsidRPr="00221350">
      <w:rPr>
        <w:rFonts w:asciiTheme="majorHAnsi" w:hAnsiTheme="majorHAnsi" w:cstheme="majorHAnsi"/>
        <w:sz w:val="18"/>
        <w:szCs w:val="18"/>
      </w:rPr>
      <w:tab/>
    </w:r>
    <w:r w:rsidR="007311AF" w:rsidRPr="00221350">
      <w:rPr>
        <w:rFonts w:asciiTheme="majorHAnsi" w:hAnsiTheme="majorHAnsi" w:cstheme="majorHAnsi"/>
        <w:sz w:val="18"/>
        <w:szCs w:val="18"/>
      </w:rPr>
      <w:t>W</w:t>
    </w:r>
    <w:r w:rsidR="00BB7002" w:rsidRPr="00221350">
      <w:rPr>
        <w:rFonts w:asciiTheme="majorHAnsi" w:hAnsiTheme="majorHAnsi" w:cstheme="majorHAnsi"/>
        <w:sz w:val="18"/>
        <w:szCs w:val="18"/>
      </w:rPr>
      <w:t>HS</w:t>
    </w:r>
    <w:r w:rsidR="001268B9" w:rsidRPr="00221350">
      <w:rPr>
        <w:rFonts w:asciiTheme="majorHAnsi" w:hAnsiTheme="majorHAnsi" w:cstheme="majorHAnsi"/>
        <w:sz w:val="18"/>
        <w:szCs w:val="18"/>
      </w:rPr>
      <w:t xml:space="preserve">PRO </w:t>
    </w:r>
    <w:r w:rsidR="00007E8C" w:rsidRPr="00221350">
      <w:rPr>
        <w:rFonts w:asciiTheme="majorHAnsi" w:hAnsiTheme="majorHAnsi" w:cstheme="majorHAnsi"/>
        <w:sz w:val="18"/>
        <w:szCs w:val="18"/>
      </w:rPr>
      <w:t xml:space="preserve">- </w:t>
    </w:r>
    <w:r w:rsidR="00301B5E" w:rsidRPr="00221350">
      <w:rPr>
        <w:rFonts w:asciiTheme="majorHAnsi" w:hAnsiTheme="majorHAnsi" w:cstheme="majorHAnsi"/>
        <w:sz w:val="18"/>
        <w:szCs w:val="18"/>
      </w:rPr>
      <w:t>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6FEE" w14:textId="77777777" w:rsidR="00AA3B44" w:rsidRDefault="00AA3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628"/>
    <w:multiLevelType w:val="hybridMultilevel"/>
    <w:tmpl w:val="A8B6BB6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E2F3903"/>
    <w:multiLevelType w:val="hybridMultilevel"/>
    <w:tmpl w:val="7A603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101619"/>
    <w:multiLevelType w:val="hybridMultilevel"/>
    <w:tmpl w:val="BEC8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C63C1C"/>
    <w:multiLevelType w:val="hybridMultilevel"/>
    <w:tmpl w:val="9B92D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22800"/>
    <w:multiLevelType w:val="hybridMultilevel"/>
    <w:tmpl w:val="95A4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75839"/>
    <w:multiLevelType w:val="hybridMultilevel"/>
    <w:tmpl w:val="A096325E"/>
    <w:lvl w:ilvl="0" w:tplc="262CF2AA">
      <w:start w:val="1"/>
      <w:numFmt w:val="bullet"/>
      <w:lvlText w:val=""/>
      <w:lvlJc w:val="left"/>
      <w:pPr>
        <w:tabs>
          <w:tab w:val="num" w:pos="425"/>
        </w:tabs>
        <w:ind w:left="425" w:hanging="425"/>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3E2F29"/>
    <w:multiLevelType w:val="hybridMultilevel"/>
    <w:tmpl w:val="EE829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EA0836"/>
    <w:multiLevelType w:val="hybridMultilevel"/>
    <w:tmpl w:val="7A16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A01516"/>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8367A"/>
    <w:multiLevelType w:val="hybridMultilevel"/>
    <w:tmpl w:val="50A0A124"/>
    <w:lvl w:ilvl="0" w:tplc="0C090013">
      <w:start w:val="1"/>
      <w:numFmt w:val="upperRoman"/>
      <w:lvlText w:val="%1."/>
      <w:lvlJc w:val="right"/>
      <w:pPr>
        <w:tabs>
          <w:tab w:val="num" w:pos="540"/>
        </w:tabs>
        <w:ind w:left="54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18B1322"/>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97068"/>
    <w:multiLevelType w:val="hybridMultilevel"/>
    <w:tmpl w:val="AA02787E"/>
    <w:lvl w:ilvl="0" w:tplc="BA8E6EFC">
      <w:start w:val="1"/>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61A125E3"/>
    <w:multiLevelType w:val="hybridMultilevel"/>
    <w:tmpl w:val="78EC9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8C7035"/>
    <w:multiLevelType w:val="hybridMultilevel"/>
    <w:tmpl w:val="AC560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9C6EF8"/>
    <w:multiLevelType w:val="hybridMultilevel"/>
    <w:tmpl w:val="FB8E20E6"/>
    <w:lvl w:ilvl="0" w:tplc="716E1554">
      <w:start w:val="1"/>
      <w:numFmt w:val="bullet"/>
      <w:lvlText w:val=""/>
      <w:lvlJc w:val="left"/>
      <w:pPr>
        <w:tabs>
          <w:tab w:val="num" w:pos="1270"/>
        </w:tabs>
        <w:ind w:left="1270" w:hanging="567"/>
      </w:pPr>
      <w:rPr>
        <w:rFonts w:ascii="Symbol" w:hAnsi="Symbol" w:hint="default"/>
        <w:sz w:val="22"/>
        <w:szCs w:val="22"/>
      </w:rPr>
    </w:lvl>
    <w:lvl w:ilvl="1" w:tplc="0C090003" w:tentative="1">
      <w:start w:val="1"/>
      <w:numFmt w:val="bullet"/>
      <w:lvlText w:val="o"/>
      <w:lvlJc w:val="left"/>
      <w:pPr>
        <w:tabs>
          <w:tab w:val="num" w:pos="2143"/>
        </w:tabs>
        <w:ind w:left="2143" w:hanging="360"/>
      </w:pPr>
      <w:rPr>
        <w:rFonts w:ascii="Courier New" w:hAnsi="Courier New" w:cs="Courier New" w:hint="default"/>
      </w:rPr>
    </w:lvl>
    <w:lvl w:ilvl="2" w:tplc="0C090005" w:tentative="1">
      <w:start w:val="1"/>
      <w:numFmt w:val="bullet"/>
      <w:lvlText w:val=""/>
      <w:lvlJc w:val="left"/>
      <w:pPr>
        <w:tabs>
          <w:tab w:val="num" w:pos="2863"/>
        </w:tabs>
        <w:ind w:left="2863" w:hanging="360"/>
      </w:pPr>
      <w:rPr>
        <w:rFonts w:ascii="Wingdings" w:hAnsi="Wingdings" w:hint="default"/>
      </w:rPr>
    </w:lvl>
    <w:lvl w:ilvl="3" w:tplc="0C090001" w:tentative="1">
      <w:start w:val="1"/>
      <w:numFmt w:val="bullet"/>
      <w:lvlText w:val=""/>
      <w:lvlJc w:val="left"/>
      <w:pPr>
        <w:tabs>
          <w:tab w:val="num" w:pos="3583"/>
        </w:tabs>
        <w:ind w:left="3583" w:hanging="360"/>
      </w:pPr>
      <w:rPr>
        <w:rFonts w:ascii="Symbol" w:hAnsi="Symbol" w:hint="default"/>
      </w:rPr>
    </w:lvl>
    <w:lvl w:ilvl="4" w:tplc="0C090003" w:tentative="1">
      <w:start w:val="1"/>
      <w:numFmt w:val="bullet"/>
      <w:lvlText w:val="o"/>
      <w:lvlJc w:val="left"/>
      <w:pPr>
        <w:tabs>
          <w:tab w:val="num" w:pos="4303"/>
        </w:tabs>
        <w:ind w:left="4303" w:hanging="360"/>
      </w:pPr>
      <w:rPr>
        <w:rFonts w:ascii="Courier New" w:hAnsi="Courier New" w:cs="Courier New" w:hint="default"/>
      </w:rPr>
    </w:lvl>
    <w:lvl w:ilvl="5" w:tplc="0C090005" w:tentative="1">
      <w:start w:val="1"/>
      <w:numFmt w:val="bullet"/>
      <w:lvlText w:val=""/>
      <w:lvlJc w:val="left"/>
      <w:pPr>
        <w:tabs>
          <w:tab w:val="num" w:pos="5023"/>
        </w:tabs>
        <w:ind w:left="5023" w:hanging="360"/>
      </w:pPr>
      <w:rPr>
        <w:rFonts w:ascii="Wingdings" w:hAnsi="Wingdings" w:hint="default"/>
      </w:rPr>
    </w:lvl>
    <w:lvl w:ilvl="6" w:tplc="0C090001" w:tentative="1">
      <w:start w:val="1"/>
      <w:numFmt w:val="bullet"/>
      <w:lvlText w:val=""/>
      <w:lvlJc w:val="left"/>
      <w:pPr>
        <w:tabs>
          <w:tab w:val="num" w:pos="5743"/>
        </w:tabs>
        <w:ind w:left="5743" w:hanging="360"/>
      </w:pPr>
      <w:rPr>
        <w:rFonts w:ascii="Symbol" w:hAnsi="Symbol" w:hint="default"/>
      </w:rPr>
    </w:lvl>
    <w:lvl w:ilvl="7" w:tplc="0C090003" w:tentative="1">
      <w:start w:val="1"/>
      <w:numFmt w:val="bullet"/>
      <w:lvlText w:val="o"/>
      <w:lvlJc w:val="left"/>
      <w:pPr>
        <w:tabs>
          <w:tab w:val="num" w:pos="6463"/>
        </w:tabs>
        <w:ind w:left="6463" w:hanging="360"/>
      </w:pPr>
      <w:rPr>
        <w:rFonts w:ascii="Courier New" w:hAnsi="Courier New" w:cs="Courier New" w:hint="default"/>
      </w:rPr>
    </w:lvl>
    <w:lvl w:ilvl="8" w:tplc="0C090005" w:tentative="1">
      <w:start w:val="1"/>
      <w:numFmt w:val="bullet"/>
      <w:lvlText w:val=""/>
      <w:lvlJc w:val="left"/>
      <w:pPr>
        <w:tabs>
          <w:tab w:val="num" w:pos="7183"/>
        </w:tabs>
        <w:ind w:left="7183" w:hanging="360"/>
      </w:pPr>
      <w:rPr>
        <w:rFonts w:ascii="Wingdings" w:hAnsi="Wingdings" w:hint="default"/>
      </w:rPr>
    </w:lvl>
  </w:abstractNum>
  <w:abstractNum w:abstractNumId="15" w15:restartNumberingAfterBreak="0">
    <w:nsid w:val="6666223D"/>
    <w:multiLevelType w:val="multilevel"/>
    <w:tmpl w:val="716A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41749"/>
    <w:multiLevelType w:val="multilevel"/>
    <w:tmpl w:val="0C0C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F1059"/>
    <w:multiLevelType w:val="hybridMultilevel"/>
    <w:tmpl w:val="930CD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6479830">
    <w:abstractNumId w:val="2"/>
  </w:num>
  <w:num w:numId="2" w16cid:durableId="853039092">
    <w:abstractNumId w:val="16"/>
  </w:num>
  <w:num w:numId="3" w16cid:durableId="1139034675">
    <w:abstractNumId w:val="8"/>
  </w:num>
  <w:num w:numId="4" w16cid:durableId="431978111">
    <w:abstractNumId w:val="10"/>
  </w:num>
  <w:num w:numId="5" w16cid:durableId="316688329">
    <w:abstractNumId w:val="15"/>
  </w:num>
  <w:num w:numId="6" w16cid:durableId="864564030">
    <w:abstractNumId w:val="0"/>
  </w:num>
  <w:num w:numId="7" w16cid:durableId="40593848">
    <w:abstractNumId w:val="11"/>
  </w:num>
  <w:num w:numId="8" w16cid:durableId="456680899">
    <w:abstractNumId w:val="14"/>
  </w:num>
  <w:num w:numId="9" w16cid:durableId="1843818201">
    <w:abstractNumId w:val="5"/>
  </w:num>
  <w:num w:numId="10" w16cid:durableId="1569341148">
    <w:abstractNumId w:val="9"/>
  </w:num>
  <w:num w:numId="11" w16cid:durableId="1724065232">
    <w:abstractNumId w:val="1"/>
  </w:num>
  <w:num w:numId="12" w16cid:durableId="1737241441">
    <w:abstractNumId w:val="4"/>
  </w:num>
  <w:num w:numId="13" w16cid:durableId="1483080687">
    <w:abstractNumId w:val="17"/>
  </w:num>
  <w:num w:numId="14" w16cid:durableId="1399866931">
    <w:abstractNumId w:val="6"/>
  </w:num>
  <w:num w:numId="15" w16cid:durableId="2042591381">
    <w:abstractNumId w:val="13"/>
  </w:num>
  <w:num w:numId="16" w16cid:durableId="1710840207">
    <w:abstractNumId w:val="3"/>
  </w:num>
  <w:num w:numId="17" w16cid:durableId="1028876836">
    <w:abstractNumId w:val="12"/>
  </w:num>
  <w:num w:numId="18" w16cid:durableId="820803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327A1"/>
    <w:rsid w:val="0003798A"/>
    <w:rsid w:val="0005779D"/>
    <w:rsid w:val="0006715B"/>
    <w:rsid w:val="00074567"/>
    <w:rsid w:val="000B18A3"/>
    <w:rsid w:val="0010409B"/>
    <w:rsid w:val="001268B9"/>
    <w:rsid w:val="001459B1"/>
    <w:rsid w:val="001738EB"/>
    <w:rsid w:val="0019407F"/>
    <w:rsid w:val="0019679D"/>
    <w:rsid w:val="001E57B4"/>
    <w:rsid w:val="00221350"/>
    <w:rsid w:val="00301B5E"/>
    <w:rsid w:val="00310E26"/>
    <w:rsid w:val="00321AFE"/>
    <w:rsid w:val="00335A12"/>
    <w:rsid w:val="00395E3F"/>
    <w:rsid w:val="003E6AD8"/>
    <w:rsid w:val="00470964"/>
    <w:rsid w:val="00477DA3"/>
    <w:rsid w:val="00507982"/>
    <w:rsid w:val="00542C6D"/>
    <w:rsid w:val="005619AB"/>
    <w:rsid w:val="00580BE8"/>
    <w:rsid w:val="0058599A"/>
    <w:rsid w:val="005974F0"/>
    <w:rsid w:val="005D738D"/>
    <w:rsid w:val="006025D4"/>
    <w:rsid w:val="00603093"/>
    <w:rsid w:val="00610045"/>
    <w:rsid w:val="00636D57"/>
    <w:rsid w:val="006419CA"/>
    <w:rsid w:val="006425C9"/>
    <w:rsid w:val="006A4CA4"/>
    <w:rsid w:val="006E4AFB"/>
    <w:rsid w:val="006E5035"/>
    <w:rsid w:val="007311AF"/>
    <w:rsid w:val="007408D7"/>
    <w:rsid w:val="007A0640"/>
    <w:rsid w:val="007B65A6"/>
    <w:rsid w:val="007C1F02"/>
    <w:rsid w:val="007E3954"/>
    <w:rsid w:val="00814B28"/>
    <w:rsid w:val="00867A76"/>
    <w:rsid w:val="0089317F"/>
    <w:rsid w:val="008C2018"/>
    <w:rsid w:val="008F67AC"/>
    <w:rsid w:val="00900E99"/>
    <w:rsid w:val="00913B92"/>
    <w:rsid w:val="00941F73"/>
    <w:rsid w:val="00946D2C"/>
    <w:rsid w:val="009C6581"/>
    <w:rsid w:val="00A30063"/>
    <w:rsid w:val="00A47BDF"/>
    <w:rsid w:val="00A530C9"/>
    <w:rsid w:val="00A7275A"/>
    <w:rsid w:val="00A8411F"/>
    <w:rsid w:val="00A8675B"/>
    <w:rsid w:val="00A86B62"/>
    <w:rsid w:val="00AA3286"/>
    <w:rsid w:val="00AA3B44"/>
    <w:rsid w:val="00AC38A9"/>
    <w:rsid w:val="00AC713E"/>
    <w:rsid w:val="00B20E43"/>
    <w:rsid w:val="00B60CE8"/>
    <w:rsid w:val="00B855A7"/>
    <w:rsid w:val="00BB7002"/>
    <w:rsid w:val="00BE4086"/>
    <w:rsid w:val="00C47DD2"/>
    <w:rsid w:val="00D829A8"/>
    <w:rsid w:val="00DB0715"/>
    <w:rsid w:val="00DB646F"/>
    <w:rsid w:val="00DE70BA"/>
    <w:rsid w:val="00E2110E"/>
    <w:rsid w:val="00E2297F"/>
    <w:rsid w:val="00E51B1F"/>
    <w:rsid w:val="00E673AC"/>
    <w:rsid w:val="00E75CC4"/>
    <w:rsid w:val="00E87C92"/>
    <w:rsid w:val="00EA30AD"/>
    <w:rsid w:val="00EB47D5"/>
    <w:rsid w:val="00EC2EDC"/>
    <w:rsid w:val="00F12A69"/>
    <w:rsid w:val="00F16631"/>
    <w:rsid w:val="00F245E6"/>
    <w:rsid w:val="00F436F6"/>
    <w:rsid w:val="00F52ED7"/>
    <w:rsid w:val="00F57586"/>
    <w:rsid w:val="00F70978"/>
    <w:rsid w:val="00F80018"/>
    <w:rsid w:val="00F8226C"/>
    <w:rsid w:val="00F83A7B"/>
    <w:rsid w:val="00FA2D64"/>
    <w:rsid w:val="00FF0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EC94FC"/>
  <w15:docId w15:val="{021B559D-5B9B-4C22-BD9D-70FF1AC9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val="en-AU"/>
    </w:rPr>
  </w:style>
  <w:style w:type="paragraph" w:styleId="Heading2">
    <w:name w:val="heading 2"/>
    <w:basedOn w:val="Normal"/>
    <w:next w:val="Normal"/>
    <w:link w:val="Heading2Char"/>
    <w:qFormat/>
    <w:rsid w:val="00EB47D5"/>
    <w:pPr>
      <w:keepNext/>
      <w:spacing w:after="0" w:line="240" w:lineRule="auto"/>
      <w:jc w:val="both"/>
      <w:outlineLvl w:val="1"/>
    </w:pPr>
    <w:rPr>
      <w:rFonts w:ascii="Times New Roman" w:eastAsia="Times New Roman" w:hAnsi="Times New Roman"/>
      <w:b/>
      <w:sz w:val="24"/>
      <w:szCs w:val="20"/>
      <w:lang w:eastAsia="en-AU"/>
    </w:rPr>
  </w:style>
  <w:style w:type="paragraph" w:styleId="Heading3">
    <w:name w:val="heading 3"/>
    <w:basedOn w:val="Normal"/>
    <w:next w:val="Normal"/>
    <w:link w:val="Heading3Char"/>
    <w:qFormat/>
    <w:rsid w:val="00EB47D5"/>
    <w:pPr>
      <w:keepNext/>
      <w:spacing w:after="0" w:line="240" w:lineRule="auto"/>
      <w:ind w:left="709" w:hanging="709"/>
      <w:jc w:val="both"/>
      <w:outlineLvl w:val="2"/>
    </w:pPr>
    <w:rPr>
      <w:rFonts w:ascii="Times New Roman" w:eastAsia="Times New Roman" w:hAnsi="Times New Roman"/>
      <w:b/>
      <w:sz w:val="24"/>
      <w:szCs w:val="20"/>
      <w:lang w:eastAsia="en-AU"/>
    </w:rPr>
  </w:style>
  <w:style w:type="paragraph" w:styleId="Heading4">
    <w:name w:val="heading 4"/>
    <w:basedOn w:val="Normal"/>
    <w:next w:val="Normal"/>
    <w:link w:val="Heading4Char"/>
    <w:qFormat/>
    <w:rsid w:val="00EB47D5"/>
    <w:pPr>
      <w:keepNext/>
      <w:spacing w:after="0" w:line="240" w:lineRule="auto"/>
      <w:ind w:left="709" w:hanging="709"/>
      <w:jc w:val="both"/>
      <w:outlineLvl w:val="3"/>
    </w:pPr>
    <w:rPr>
      <w:rFonts w:ascii="Arial" w:eastAsia="Times New Roman" w:hAnsi="Arial" w:cs="Arial"/>
      <w:b/>
      <w:bCs/>
      <w:lang w:eastAsia="en-AU"/>
    </w:rPr>
  </w:style>
  <w:style w:type="paragraph" w:styleId="Heading6">
    <w:name w:val="heading 6"/>
    <w:basedOn w:val="Normal"/>
    <w:next w:val="Normal"/>
    <w:link w:val="Heading6Char"/>
    <w:qFormat/>
    <w:rsid w:val="00EB47D5"/>
    <w:pPr>
      <w:keepNext/>
      <w:spacing w:after="0" w:line="240" w:lineRule="auto"/>
      <w:outlineLvl w:val="5"/>
    </w:pPr>
    <w:rPr>
      <w:rFonts w:ascii="Arial" w:eastAsia="Times New Roman" w:hAnsi="Arial" w:cs="Arial"/>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335A12"/>
    <w:pPr>
      <w:ind w:left="720"/>
      <w:contextualSpacing/>
    </w:pPr>
  </w:style>
  <w:style w:type="paragraph" w:styleId="NormalWeb">
    <w:name w:val="Normal (Web)"/>
    <w:basedOn w:val="Normal"/>
    <w:uiPriority w:val="99"/>
    <w:semiHidden/>
    <w:unhideWhenUsed/>
    <w:rsid w:val="00335A12"/>
    <w:pPr>
      <w:spacing w:after="100" w:afterAutospacing="1" w:line="312" w:lineRule="auto"/>
    </w:pPr>
    <w:rPr>
      <w:rFonts w:ascii="Arial" w:eastAsia="Times New Roman" w:hAnsi="Arial" w:cs="Arial"/>
      <w:color w:val="000000"/>
      <w:sz w:val="23"/>
      <w:szCs w:val="23"/>
      <w:lang w:eastAsia="en-AU"/>
    </w:rPr>
  </w:style>
  <w:style w:type="character" w:customStyle="1" w:styleId="Heading2Char">
    <w:name w:val="Heading 2 Char"/>
    <w:link w:val="Heading2"/>
    <w:rsid w:val="00EB47D5"/>
    <w:rPr>
      <w:rFonts w:ascii="Times New Roman" w:eastAsia="Times New Roman" w:hAnsi="Times New Roman" w:cs="Times New Roman"/>
      <w:b/>
      <w:sz w:val="24"/>
      <w:szCs w:val="20"/>
      <w:lang w:eastAsia="en-AU"/>
    </w:rPr>
  </w:style>
  <w:style w:type="character" w:customStyle="1" w:styleId="Heading3Char">
    <w:name w:val="Heading 3 Char"/>
    <w:link w:val="Heading3"/>
    <w:rsid w:val="00EB47D5"/>
    <w:rPr>
      <w:rFonts w:ascii="Times New Roman" w:eastAsia="Times New Roman" w:hAnsi="Times New Roman" w:cs="Times New Roman"/>
      <w:b/>
      <w:sz w:val="24"/>
      <w:szCs w:val="20"/>
      <w:lang w:eastAsia="en-AU"/>
    </w:rPr>
  </w:style>
  <w:style w:type="character" w:customStyle="1" w:styleId="Heading4Char">
    <w:name w:val="Heading 4 Char"/>
    <w:link w:val="Heading4"/>
    <w:rsid w:val="00EB47D5"/>
    <w:rPr>
      <w:rFonts w:ascii="Arial" w:eastAsia="Times New Roman" w:hAnsi="Arial" w:cs="Arial"/>
      <w:b/>
      <w:bCs/>
      <w:lang w:eastAsia="en-AU"/>
    </w:rPr>
  </w:style>
  <w:style w:type="character" w:customStyle="1" w:styleId="Heading6Char">
    <w:name w:val="Heading 6 Char"/>
    <w:link w:val="Heading6"/>
    <w:rsid w:val="00EB47D5"/>
    <w:rPr>
      <w:rFonts w:ascii="Arial" w:eastAsia="Times New Roman" w:hAnsi="Arial" w:cs="Arial"/>
      <w:b/>
      <w:bCs/>
      <w:lang w:eastAsia="en-AU"/>
    </w:rPr>
  </w:style>
  <w:style w:type="paragraph" w:styleId="BodyText">
    <w:name w:val="Body Text"/>
    <w:basedOn w:val="Normal"/>
    <w:link w:val="BodyTextChar"/>
    <w:rsid w:val="00EB47D5"/>
    <w:pPr>
      <w:spacing w:after="0" w:line="240" w:lineRule="auto"/>
      <w:jc w:val="both"/>
    </w:pPr>
    <w:rPr>
      <w:rFonts w:ascii="Times New Roman" w:eastAsia="Times New Roman" w:hAnsi="Times New Roman"/>
      <w:szCs w:val="20"/>
      <w:lang w:eastAsia="en-AU"/>
    </w:rPr>
  </w:style>
  <w:style w:type="character" w:customStyle="1" w:styleId="BodyTextChar">
    <w:name w:val="Body Text Char"/>
    <w:link w:val="BodyText"/>
    <w:rsid w:val="00EB47D5"/>
    <w:rPr>
      <w:rFonts w:ascii="Times New Roman" w:eastAsia="Times New Roman" w:hAnsi="Times New Roman" w:cs="Times New Roman"/>
      <w:szCs w:val="20"/>
      <w:lang w:eastAsia="en-AU"/>
    </w:rPr>
  </w:style>
  <w:style w:type="paragraph" w:customStyle="1" w:styleId="Default">
    <w:name w:val="Default"/>
    <w:rsid w:val="00EB47D5"/>
    <w:pPr>
      <w:autoSpaceDE w:val="0"/>
      <w:autoSpaceDN w:val="0"/>
      <w:adjustRightInd w:val="0"/>
    </w:pPr>
    <w:rPr>
      <w:rFonts w:ascii="Arial" w:eastAsia="Times New Roman" w:hAnsi="Arial" w:cs="Arial"/>
      <w:lang w:val="en-AU" w:eastAsia="en-AU"/>
    </w:rPr>
  </w:style>
  <w:style w:type="character" w:styleId="Hyperlink">
    <w:name w:val="Hyperlink"/>
    <w:rsid w:val="00EB47D5"/>
    <w:rPr>
      <w:color w:val="0000FF"/>
      <w:u w:val="single"/>
    </w:rPr>
  </w:style>
  <w:style w:type="character" w:styleId="FollowedHyperlink">
    <w:name w:val="FollowedHyperlink"/>
    <w:uiPriority w:val="99"/>
    <w:semiHidden/>
    <w:unhideWhenUsed/>
    <w:rsid w:val="003E6A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5184">
      <w:bodyDiv w:val="1"/>
      <w:marLeft w:val="0"/>
      <w:marRight w:val="0"/>
      <w:marTop w:val="0"/>
      <w:marBottom w:val="0"/>
      <w:divBdr>
        <w:top w:val="none" w:sz="0" w:space="0" w:color="auto"/>
        <w:left w:val="none" w:sz="0" w:space="0" w:color="auto"/>
        <w:bottom w:val="none" w:sz="0" w:space="0" w:color="auto"/>
        <w:right w:val="none" w:sz="0" w:space="0" w:color="auto"/>
      </w:divBdr>
      <w:divsChild>
        <w:div w:id="1989699492">
          <w:marLeft w:val="0"/>
          <w:marRight w:val="0"/>
          <w:marTop w:val="0"/>
          <w:marBottom w:val="0"/>
          <w:divBdr>
            <w:top w:val="single" w:sz="2" w:space="0" w:color="666666"/>
            <w:left w:val="none" w:sz="0" w:space="0" w:color="auto"/>
            <w:bottom w:val="none" w:sz="0" w:space="0" w:color="auto"/>
            <w:right w:val="none" w:sz="0" w:space="0" w:color="auto"/>
          </w:divBdr>
          <w:divsChild>
            <w:div w:id="613827071">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4779806">
      <w:bodyDiv w:val="1"/>
      <w:marLeft w:val="0"/>
      <w:marRight w:val="0"/>
      <w:marTop w:val="0"/>
      <w:marBottom w:val="0"/>
      <w:divBdr>
        <w:top w:val="none" w:sz="0" w:space="0" w:color="auto"/>
        <w:left w:val="none" w:sz="0" w:space="0" w:color="auto"/>
        <w:bottom w:val="none" w:sz="0" w:space="0" w:color="auto"/>
        <w:right w:val="none" w:sz="0" w:space="0" w:color="auto"/>
      </w:divBdr>
      <w:divsChild>
        <w:div w:id="1884321458">
          <w:marLeft w:val="0"/>
          <w:marRight w:val="0"/>
          <w:marTop w:val="0"/>
          <w:marBottom w:val="0"/>
          <w:divBdr>
            <w:top w:val="single" w:sz="2" w:space="0" w:color="666666"/>
            <w:left w:val="none" w:sz="0" w:space="0" w:color="auto"/>
            <w:bottom w:val="none" w:sz="0" w:space="0" w:color="auto"/>
            <w:right w:val="none" w:sz="0" w:space="0" w:color="auto"/>
          </w:divBdr>
          <w:divsChild>
            <w:div w:id="130118438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7E3A-1BBC-4DEE-9267-A85057CA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2025-11-19T22:49:00Z</dcterms:created>
  <dcterms:modified xsi:type="dcterms:W3CDTF">2025-11-19T22:49:00Z</dcterms:modified>
</cp:coreProperties>
</file>