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662" w14:textId="691918B5" w:rsidR="00007E8C" w:rsidRPr="004C26A0" w:rsidRDefault="00195A7C" w:rsidP="00C45040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42"/>
          <w:szCs w:val="42"/>
        </w:rPr>
      </w:pPr>
      <w:r w:rsidRPr="004C26A0">
        <w:rPr>
          <w:rFonts w:asciiTheme="minorHAnsi" w:hAnsiTheme="minorHAnsi" w:cstheme="minorHAnsi"/>
          <w:b/>
          <w:color w:val="365F91" w:themeColor="accent1" w:themeShade="BF"/>
          <w:sz w:val="42"/>
          <w:szCs w:val="42"/>
        </w:rPr>
        <w:t>PROVISION OF INFORMATION FOR CULTURALLY AND LINGUISTICALLY DIVERSE PERSONS</w:t>
      </w:r>
    </w:p>
    <w:p w14:paraId="08CFD4DE" w14:textId="77777777" w:rsidR="00195A7C" w:rsidRPr="004C26A0" w:rsidRDefault="00195A7C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BB4EDB8" w14:textId="5CBA127E" w:rsidR="00B679A8" w:rsidRPr="004C26A0" w:rsidRDefault="00195A7C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4C26A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Introduction</w:t>
      </w:r>
    </w:p>
    <w:p w14:paraId="4710883B" w14:textId="1F3B0AC5" w:rsidR="00DA60E6" w:rsidRPr="004C26A0" w:rsidRDefault="001048AE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 xml:space="preserve">To keep workers </w:t>
      </w:r>
      <w:r w:rsidR="00C45040" w:rsidRPr="004C26A0">
        <w:rPr>
          <w:rFonts w:asciiTheme="minorHAnsi" w:hAnsiTheme="minorHAnsi" w:cstheme="minorHAnsi"/>
          <w:sz w:val="20"/>
          <w:szCs w:val="20"/>
        </w:rPr>
        <w:t>safe,</w:t>
      </w:r>
      <w:r w:rsidRPr="004C26A0">
        <w:rPr>
          <w:rFonts w:asciiTheme="minorHAnsi" w:hAnsiTheme="minorHAnsi" w:cstheme="minorHAnsi"/>
          <w:sz w:val="20"/>
          <w:szCs w:val="20"/>
        </w:rPr>
        <w:t xml:space="preserve"> it is important that they have a full understanding of all work matter</w:t>
      </w:r>
      <w:r w:rsidR="0022641B" w:rsidRPr="004C26A0">
        <w:rPr>
          <w:rFonts w:asciiTheme="minorHAnsi" w:hAnsiTheme="minorHAnsi" w:cstheme="minorHAnsi"/>
          <w:sz w:val="20"/>
          <w:szCs w:val="20"/>
        </w:rPr>
        <w:t>s</w:t>
      </w:r>
      <w:r w:rsidRPr="004C26A0">
        <w:rPr>
          <w:rFonts w:asciiTheme="minorHAnsi" w:hAnsiTheme="minorHAnsi" w:cstheme="minorHAnsi"/>
          <w:sz w:val="20"/>
          <w:szCs w:val="20"/>
        </w:rPr>
        <w:t xml:space="preserve"> including hazard identification, control measures, signage and instruction. To do this it is important that information is provided to workers in a language or </w:t>
      </w:r>
      <w:r w:rsidR="00B679A8" w:rsidRPr="004C26A0">
        <w:rPr>
          <w:rFonts w:asciiTheme="minorHAnsi" w:hAnsiTheme="minorHAnsi" w:cstheme="minorHAnsi"/>
          <w:sz w:val="20"/>
          <w:szCs w:val="20"/>
        </w:rPr>
        <w:t xml:space="preserve">a </w:t>
      </w:r>
      <w:r w:rsidRPr="004C26A0">
        <w:rPr>
          <w:rFonts w:asciiTheme="minorHAnsi" w:hAnsiTheme="minorHAnsi" w:cstheme="minorHAnsi"/>
          <w:sz w:val="20"/>
          <w:szCs w:val="20"/>
        </w:rPr>
        <w:t xml:space="preserve">manner in which they understand. </w:t>
      </w:r>
      <w:r w:rsidR="0022641B" w:rsidRPr="004C26A0">
        <w:rPr>
          <w:rFonts w:asciiTheme="minorHAnsi" w:hAnsiTheme="minorHAnsi" w:cstheme="minorHAnsi"/>
          <w:sz w:val="20"/>
          <w:szCs w:val="20"/>
        </w:rPr>
        <w:t>${legalname}</w:t>
      </w:r>
      <w:r w:rsidR="00DA60E6" w:rsidRPr="004C26A0">
        <w:rPr>
          <w:rFonts w:asciiTheme="minorHAnsi" w:hAnsiTheme="minorHAnsi" w:cstheme="minorHAnsi"/>
          <w:sz w:val="20"/>
          <w:szCs w:val="20"/>
        </w:rPr>
        <w:t xml:space="preserve"> is committed to ensuring all persons are provided with adequate information, training and instruction in a manner which can be understood.</w:t>
      </w:r>
    </w:p>
    <w:p w14:paraId="604717D9" w14:textId="77777777" w:rsidR="00411783" w:rsidRPr="004C26A0" w:rsidRDefault="00411783" w:rsidP="00DE5E99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55036E9" w14:textId="7A188C42" w:rsidR="00B679A8" w:rsidRPr="004C26A0" w:rsidRDefault="000B329A" w:rsidP="00DE5E99">
      <w:pPr>
        <w:spacing w:after="0" w:line="240" w:lineRule="auto"/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4C26A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Scope</w:t>
      </w:r>
    </w:p>
    <w:p w14:paraId="2157761E" w14:textId="77777777" w:rsidR="00C47DD2" w:rsidRPr="004C26A0" w:rsidRDefault="004C3F29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 xml:space="preserve">This policy covers all </w:t>
      </w:r>
      <w:r w:rsidR="001048AE" w:rsidRPr="004C26A0">
        <w:rPr>
          <w:rFonts w:asciiTheme="minorHAnsi" w:hAnsiTheme="minorHAnsi" w:cstheme="minorHAnsi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sz w:val="20"/>
          <w:szCs w:val="20"/>
        </w:rPr>
        <w:t xml:space="preserve">, visitors and contractors </w:t>
      </w:r>
      <w:r w:rsidR="002A033B" w:rsidRPr="004C26A0">
        <w:rPr>
          <w:rFonts w:asciiTheme="minorHAnsi" w:hAnsiTheme="minorHAnsi" w:cstheme="minorHAnsi"/>
          <w:sz w:val="20"/>
          <w:szCs w:val="20"/>
        </w:rPr>
        <w:t xml:space="preserve">of </w:t>
      </w:r>
      <w:r w:rsidR="0022641B" w:rsidRPr="004C26A0">
        <w:rPr>
          <w:rFonts w:asciiTheme="minorHAnsi" w:hAnsiTheme="minorHAnsi" w:cstheme="minorHAnsi"/>
          <w:sz w:val="20"/>
          <w:szCs w:val="20"/>
        </w:rPr>
        <w:t>${legalname}</w:t>
      </w:r>
      <w:r w:rsidR="002A033B" w:rsidRPr="004C26A0">
        <w:rPr>
          <w:rFonts w:asciiTheme="minorHAnsi" w:hAnsiTheme="minorHAnsi" w:cstheme="minorHAnsi"/>
          <w:sz w:val="20"/>
          <w:szCs w:val="20"/>
        </w:rPr>
        <w:t xml:space="preserve"> </w:t>
      </w:r>
      <w:r w:rsidRPr="004C26A0">
        <w:rPr>
          <w:rFonts w:asciiTheme="minorHAnsi" w:hAnsiTheme="minorHAnsi" w:cstheme="minorHAnsi"/>
          <w:sz w:val="20"/>
          <w:szCs w:val="20"/>
        </w:rPr>
        <w:t>who require inform</w:t>
      </w:r>
      <w:r w:rsidR="00DD0EF7" w:rsidRPr="004C26A0">
        <w:rPr>
          <w:rFonts w:asciiTheme="minorHAnsi" w:hAnsiTheme="minorHAnsi" w:cstheme="minorHAnsi"/>
          <w:sz w:val="20"/>
          <w:szCs w:val="20"/>
        </w:rPr>
        <w:t xml:space="preserve">ation or training and are </w:t>
      </w:r>
      <w:r w:rsidR="001048AE" w:rsidRPr="004C26A0">
        <w:rPr>
          <w:rFonts w:asciiTheme="minorHAnsi" w:hAnsiTheme="minorHAnsi" w:cstheme="minorHAnsi"/>
          <w:sz w:val="20"/>
          <w:szCs w:val="20"/>
        </w:rPr>
        <w:t>culturally &amp; linguistically diverse (CALD</w:t>
      </w:r>
      <w:r w:rsidR="00E5594E" w:rsidRPr="004C26A0">
        <w:rPr>
          <w:rFonts w:asciiTheme="minorHAnsi" w:hAnsiTheme="minorHAnsi" w:cstheme="minorHAnsi"/>
          <w:sz w:val="20"/>
          <w:szCs w:val="20"/>
        </w:rPr>
        <w:t>)</w:t>
      </w:r>
      <w:r w:rsidRPr="004C26A0">
        <w:rPr>
          <w:rFonts w:asciiTheme="minorHAnsi" w:hAnsiTheme="minorHAnsi" w:cstheme="minorHAnsi"/>
          <w:sz w:val="20"/>
          <w:szCs w:val="20"/>
        </w:rPr>
        <w:t>. This also include</w:t>
      </w:r>
      <w:r w:rsidR="00022503" w:rsidRPr="004C26A0">
        <w:rPr>
          <w:rFonts w:asciiTheme="minorHAnsi" w:hAnsiTheme="minorHAnsi" w:cstheme="minorHAnsi"/>
          <w:sz w:val="20"/>
          <w:szCs w:val="20"/>
        </w:rPr>
        <w:t>s</w:t>
      </w:r>
      <w:r w:rsidRPr="004C26A0">
        <w:rPr>
          <w:rFonts w:asciiTheme="minorHAnsi" w:hAnsiTheme="minorHAnsi" w:cstheme="minorHAnsi"/>
          <w:sz w:val="20"/>
          <w:szCs w:val="20"/>
        </w:rPr>
        <w:t xml:space="preserve"> </w:t>
      </w:r>
      <w:r w:rsidR="00022503" w:rsidRPr="004C26A0">
        <w:rPr>
          <w:rFonts w:asciiTheme="minorHAnsi" w:hAnsiTheme="minorHAnsi" w:cstheme="minorHAnsi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sz w:val="20"/>
          <w:szCs w:val="20"/>
        </w:rPr>
        <w:t xml:space="preserve"> with disabilities</w:t>
      </w:r>
      <w:r w:rsidR="00B679A8" w:rsidRPr="004C26A0">
        <w:rPr>
          <w:rFonts w:asciiTheme="minorHAnsi" w:hAnsiTheme="minorHAnsi" w:cstheme="minorHAnsi"/>
          <w:sz w:val="20"/>
          <w:szCs w:val="20"/>
        </w:rPr>
        <w:t xml:space="preserve"> and /or</w:t>
      </w:r>
      <w:r w:rsidRPr="004C26A0">
        <w:rPr>
          <w:rFonts w:asciiTheme="minorHAnsi" w:hAnsiTheme="minorHAnsi" w:cstheme="minorHAnsi"/>
          <w:sz w:val="20"/>
          <w:szCs w:val="20"/>
        </w:rPr>
        <w:t xml:space="preserve"> who may not be able to read</w:t>
      </w:r>
      <w:r w:rsidR="00BC5D4A" w:rsidRPr="004C26A0">
        <w:rPr>
          <w:rFonts w:asciiTheme="minorHAnsi" w:hAnsiTheme="minorHAnsi" w:cstheme="minorHAnsi"/>
          <w:sz w:val="20"/>
          <w:szCs w:val="20"/>
        </w:rPr>
        <w:t>, write</w:t>
      </w:r>
      <w:r w:rsidRPr="004C26A0">
        <w:rPr>
          <w:rFonts w:asciiTheme="minorHAnsi" w:hAnsiTheme="minorHAnsi" w:cstheme="minorHAnsi"/>
          <w:sz w:val="20"/>
          <w:szCs w:val="20"/>
        </w:rPr>
        <w:t xml:space="preserve"> or understand English.</w:t>
      </w:r>
    </w:p>
    <w:p w14:paraId="335B1EE9" w14:textId="77777777" w:rsidR="00B679A8" w:rsidRPr="004C26A0" w:rsidRDefault="00B679A8" w:rsidP="00DE5E99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C67870A" w14:textId="1AC9BD2F" w:rsidR="00B679A8" w:rsidRPr="004C26A0" w:rsidRDefault="000B329A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365F91" w:themeColor="accent1" w:themeShade="BF"/>
          <w:sz w:val="28"/>
          <w:szCs w:val="28"/>
          <w:lang w:eastAsia="en-AU"/>
        </w:rPr>
      </w:pPr>
      <w:r w:rsidRPr="004C26A0">
        <w:rPr>
          <w:rFonts w:asciiTheme="minorHAnsi" w:eastAsia="Times New Roman" w:hAnsiTheme="minorHAnsi" w:cstheme="minorHAnsi"/>
          <w:b/>
          <w:color w:val="365F91" w:themeColor="accent1" w:themeShade="BF"/>
          <w:sz w:val="28"/>
          <w:szCs w:val="28"/>
          <w:lang w:eastAsia="en-AU"/>
        </w:rPr>
        <w:t>Definitions</w:t>
      </w:r>
    </w:p>
    <w:p w14:paraId="7AB454CF" w14:textId="77777777" w:rsidR="006E320D" w:rsidRPr="004C26A0" w:rsidRDefault="002B4E6F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6A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  <w:t>Induction</w:t>
      </w:r>
      <w:r w:rsidRPr="004C26A0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 is the provision of information designed to inform a new or transferred </w:t>
      </w:r>
      <w:r w:rsidR="003F5155" w:rsidRPr="004C26A0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worker</w:t>
      </w:r>
      <w:r w:rsidRPr="004C26A0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, visitor or a contractor to a workplace and provide them with information concerning hazards and hazard control measures</w:t>
      </w:r>
      <w:r w:rsidR="00B679A8" w:rsidRPr="004C26A0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.</w:t>
      </w:r>
    </w:p>
    <w:p w14:paraId="79F00398" w14:textId="77777777" w:rsidR="00570B0C" w:rsidRDefault="00570B0C" w:rsidP="00DE5E99">
      <w:pPr>
        <w:autoSpaceDE w:val="0"/>
        <w:autoSpaceDN w:val="0"/>
        <w:adjustRightInd w:val="0"/>
        <w:spacing w:after="0" w:line="240" w:lineRule="auto"/>
        <w:jc w:val="both"/>
        <w:rPr>
          <w:rStyle w:val="googqs-tidbit"/>
          <w:rFonts w:asciiTheme="minorHAnsi" w:hAnsiTheme="minorHAnsi" w:cstheme="minorHAnsi"/>
          <w:b/>
          <w:sz w:val="20"/>
          <w:szCs w:val="20"/>
        </w:rPr>
      </w:pPr>
    </w:p>
    <w:p w14:paraId="732682A8" w14:textId="74519C8F" w:rsidR="00EF230E" w:rsidRPr="004C26A0" w:rsidRDefault="00B679A8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6A0">
        <w:rPr>
          <w:rStyle w:val="googqs-tidbit"/>
          <w:rFonts w:asciiTheme="minorHAnsi" w:hAnsiTheme="minorHAnsi" w:cstheme="minorHAnsi"/>
          <w:b/>
          <w:sz w:val="20"/>
          <w:szCs w:val="20"/>
        </w:rPr>
        <w:t>Cultural and linguistic diversity</w:t>
      </w:r>
      <w:r w:rsidRPr="004C26A0">
        <w:rPr>
          <w:rStyle w:val="googqs-tidbit"/>
          <w:rFonts w:asciiTheme="minorHAnsi" w:hAnsiTheme="minorHAnsi" w:cstheme="minorHAnsi"/>
          <w:sz w:val="20"/>
          <w:szCs w:val="20"/>
        </w:rPr>
        <w:t xml:space="preserve"> </w:t>
      </w:r>
      <w:r w:rsidR="00983906" w:rsidRPr="004C26A0">
        <w:rPr>
          <w:rStyle w:val="googqs-tidbit"/>
          <w:rFonts w:asciiTheme="minorHAnsi" w:hAnsiTheme="minorHAnsi" w:cstheme="minorHAnsi"/>
          <w:sz w:val="20"/>
          <w:szCs w:val="20"/>
        </w:rPr>
        <w:t xml:space="preserve">(CALD) </w:t>
      </w:r>
      <w:r w:rsidRPr="004C26A0">
        <w:rPr>
          <w:rStyle w:val="googqs-tidbit"/>
          <w:rFonts w:asciiTheme="minorHAnsi" w:hAnsiTheme="minorHAnsi" w:cstheme="minorHAnsi"/>
          <w:sz w:val="20"/>
          <w:szCs w:val="20"/>
        </w:rPr>
        <w:t>is a term used to describe a very broad concept that encompasses the differences that exist</w:t>
      </w:r>
      <w:r w:rsidRPr="004C26A0">
        <w:rPr>
          <w:rFonts w:asciiTheme="minorHAnsi" w:hAnsiTheme="minorHAnsi" w:cstheme="minorHAnsi"/>
          <w:sz w:val="20"/>
          <w:szCs w:val="20"/>
        </w:rPr>
        <w:t xml:space="preserve"> between people, such as language, dress, traditions, food, societal structures, art and religion.</w:t>
      </w:r>
      <w:r w:rsidR="00983906" w:rsidRPr="004C26A0">
        <w:rPr>
          <w:rFonts w:asciiTheme="minorHAnsi" w:hAnsiTheme="minorHAnsi" w:cstheme="minorHAnsi"/>
          <w:sz w:val="20"/>
          <w:szCs w:val="20"/>
        </w:rPr>
        <w:t xml:space="preserve"> The term CALD has replaced Non-English Speaking (NESB).</w:t>
      </w:r>
    </w:p>
    <w:p w14:paraId="73FC1F38" w14:textId="77777777" w:rsidR="00570B0C" w:rsidRDefault="00570B0C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76F51CE" w14:textId="07C6E2EC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6A0">
        <w:rPr>
          <w:rFonts w:asciiTheme="minorHAnsi" w:hAnsiTheme="minorHAnsi" w:cstheme="minorHAnsi"/>
          <w:b/>
          <w:bCs/>
          <w:sz w:val="20"/>
          <w:szCs w:val="20"/>
        </w:rPr>
        <w:t xml:space="preserve">Translation </w:t>
      </w:r>
      <w:r w:rsidRPr="004C26A0">
        <w:rPr>
          <w:rFonts w:asciiTheme="minorHAnsi" w:hAnsiTheme="minorHAnsi" w:cstheme="minorHAnsi"/>
          <w:sz w:val="20"/>
          <w:szCs w:val="20"/>
        </w:rPr>
        <w:t>Includes the provision of translators as well as translation of written materials</w:t>
      </w:r>
      <w:r w:rsidRPr="004C26A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4A21F87" w14:textId="77777777" w:rsidR="006E320D" w:rsidRPr="004C26A0" w:rsidRDefault="006E320D" w:rsidP="00DE5E99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979EFAC" w14:textId="486B7BA1" w:rsidR="00B679A8" w:rsidRPr="004C26A0" w:rsidRDefault="000B329A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4C26A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Roles and Responsibilities</w:t>
      </w:r>
    </w:p>
    <w:p w14:paraId="65EC6F5A" w14:textId="77777777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26A0">
        <w:rPr>
          <w:rFonts w:asciiTheme="minorHAnsi" w:hAnsiTheme="minorHAnsi" w:cstheme="minorHAnsi"/>
          <w:b/>
          <w:sz w:val="20"/>
          <w:szCs w:val="20"/>
        </w:rPr>
        <w:t>Managers/</w:t>
      </w:r>
      <w:r w:rsidR="004629FB" w:rsidRPr="004C26A0">
        <w:rPr>
          <w:rFonts w:asciiTheme="minorHAnsi" w:hAnsiTheme="minorHAnsi" w:cstheme="minorHAnsi"/>
          <w:b/>
          <w:sz w:val="20"/>
          <w:szCs w:val="20"/>
        </w:rPr>
        <w:t>supervisors are responsible for:</w:t>
      </w:r>
    </w:p>
    <w:p w14:paraId="3A78AFAE" w14:textId="01BE6224" w:rsidR="006E320D" w:rsidRPr="004C26A0" w:rsidRDefault="006E320D" w:rsidP="00DE5E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 xml:space="preserve">Ensuring all staff are adequately provided with </w:t>
      </w:r>
      <w:r w:rsidR="003F5155" w:rsidRPr="004C26A0">
        <w:rPr>
          <w:rFonts w:asciiTheme="minorHAnsi" w:hAnsiTheme="minorHAnsi" w:cstheme="minorHAnsi"/>
          <w:sz w:val="20"/>
          <w:szCs w:val="20"/>
        </w:rPr>
        <w:t xml:space="preserve">work </w:t>
      </w:r>
      <w:r w:rsidRPr="004C26A0">
        <w:rPr>
          <w:rFonts w:asciiTheme="minorHAnsi" w:hAnsiTheme="minorHAnsi" w:cstheme="minorHAnsi"/>
          <w:sz w:val="20"/>
          <w:szCs w:val="20"/>
        </w:rPr>
        <w:t>health and safety information</w:t>
      </w:r>
      <w:r w:rsidR="00EE5AC2" w:rsidRPr="004C26A0">
        <w:rPr>
          <w:rFonts w:asciiTheme="minorHAnsi" w:hAnsiTheme="minorHAnsi" w:cstheme="minorHAnsi"/>
          <w:sz w:val="20"/>
          <w:szCs w:val="20"/>
        </w:rPr>
        <w:t>, training and instruction</w:t>
      </w:r>
      <w:r w:rsidRPr="004C26A0">
        <w:rPr>
          <w:rFonts w:asciiTheme="minorHAnsi" w:hAnsiTheme="minorHAnsi" w:cstheme="minorHAnsi"/>
          <w:sz w:val="20"/>
          <w:szCs w:val="20"/>
        </w:rPr>
        <w:t xml:space="preserve"> that takes into account their communication requirements.</w:t>
      </w:r>
    </w:p>
    <w:p w14:paraId="42F873D6" w14:textId="77777777" w:rsidR="006E320D" w:rsidRPr="004C26A0" w:rsidRDefault="006E320D" w:rsidP="00DE5E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Identification and assessment of health and safety information needs, taking</w:t>
      </w:r>
      <w:r w:rsidR="00DD0EF7" w:rsidRPr="004C26A0">
        <w:rPr>
          <w:rFonts w:asciiTheme="minorHAnsi" w:hAnsiTheme="minorHAnsi" w:cstheme="minorHAnsi"/>
          <w:sz w:val="20"/>
          <w:szCs w:val="20"/>
        </w:rPr>
        <w:t xml:space="preserve"> into account requirements for </w:t>
      </w:r>
      <w:r w:rsidR="00BC5D4A" w:rsidRPr="004C26A0">
        <w:rPr>
          <w:rFonts w:asciiTheme="minorHAnsi" w:hAnsiTheme="minorHAnsi" w:cstheme="minorHAnsi"/>
          <w:sz w:val="20"/>
          <w:szCs w:val="20"/>
        </w:rPr>
        <w:t>CALD workers or workers with disabilities</w:t>
      </w:r>
      <w:r w:rsidRPr="004C26A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80B979" w14:textId="77777777" w:rsidR="006E320D" w:rsidRPr="004C26A0" w:rsidRDefault="006E320D" w:rsidP="00DE5E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 xml:space="preserve">Ensuring </w:t>
      </w:r>
      <w:r w:rsidR="001048AE" w:rsidRPr="004C26A0">
        <w:rPr>
          <w:rFonts w:asciiTheme="minorHAnsi" w:hAnsiTheme="minorHAnsi" w:cstheme="minorHAnsi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sz w:val="20"/>
          <w:szCs w:val="20"/>
        </w:rPr>
        <w:t xml:space="preserve"> understand all induction/orientations conducted</w:t>
      </w:r>
    </w:p>
    <w:p w14:paraId="755843E6" w14:textId="77777777" w:rsidR="00B679A8" w:rsidRPr="004C26A0" w:rsidRDefault="00B679A8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631D2CD" w14:textId="77777777" w:rsidR="00E51F9D" w:rsidRPr="004C26A0" w:rsidRDefault="001048AE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26A0">
        <w:rPr>
          <w:rFonts w:asciiTheme="minorHAnsi" w:hAnsiTheme="minorHAnsi" w:cstheme="minorHAnsi"/>
          <w:b/>
          <w:sz w:val="20"/>
          <w:szCs w:val="20"/>
        </w:rPr>
        <w:t>Workers</w:t>
      </w:r>
      <w:r w:rsidR="006E320D" w:rsidRPr="004C26A0">
        <w:rPr>
          <w:rFonts w:asciiTheme="minorHAnsi" w:hAnsiTheme="minorHAnsi" w:cstheme="minorHAnsi"/>
          <w:b/>
          <w:sz w:val="20"/>
          <w:szCs w:val="20"/>
        </w:rPr>
        <w:t xml:space="preserve"> are responsible for </w:t>
      </w:r>
    </w:p>
    <w:p w14:paraId="5070F33D" w14:textId="27FD8716" w:rsidR="006E320D" w:rsidRPr="004C26A0" w:rsidRDefault="00C45040" w:rsidP="00DE5E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="006E320D" w:rsidRPr="004C26A0">
        <w:rPr>
          <w:rFonts w:asciiTheme="minorHAnsi" w:hAnsiTheme="minorHAnsi" w:cstheme="minorHAnsi"/>
          <w:sz w:val="20"/>
          <w:szCs w:val="20"/>
        </w:rPr>
        <w:t xml:space="preserve">ollowing safe work practices and should report to their manager instances where they or other </w:t>
      </w:r>
      <w:r w:rsidR="001048AE" w:rsidRPr="004C26A0">
        <w:rPr>
          <w:rFonts w:asciiTheme="minorHAnsi" w:hAnsiTheme="minorHAnsi" w:cstheme="minorHAnsi"/>
          <w:sz w:val="20"/>
          <w:szCs w:val="20"/>
        </w:rPr>
        <w:t>workers</w:t>
      </w:r>
      <w:r w:rsidR="006E320D" w:rsidRPr="004C26A0">
        <w:rPr>
          <w:rFonts w:asciiTheme="minorHAnsi" w:hAnsiTheme="minorHAnsi" w:cstheme="minorHAnsi"/>
          <w:sz w:val="20"/>
          <w:szCs w:val="20"/>
        </w:rPr>
        <w:t xml:space="preserve"> have difficulty understanding health and safety information</w:t>
      </w:r>
    </w:p>
    <w:p w14:paraId="1830532A" w14:textId="77777777" w:rsidR="00BC5D4A" w:rsidRPr="004C26A0" w:rsidRDefault="00BC5D4A" w:rsidP="00DE5E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77EBA26F" w14:textId="5E72BB3C" w:rsidR="00BC5D4A" w:rsidRPr="004C26A0" w:rsidRDefault="000B329A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4C26A0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Procedure</w:t>
      </w:r>
    </w:p>
    <w:p w14:paraId="25C380E0" w14:textId="77777777" w:rsidR="006E320D" w:rsidRPr="004C26A0" w:rsidRDefault="00EF230E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6A0">
        <w:rPr>
          <w:rFonts w:asciiTheme="minorHAnsi" w:hAnsiTheme="minorHAnsi" w:cstheme="minorHAnsi"/>
          <w:b/>
          <w:bCs/>
          <w:sz w:val="20"/>
          <w:szCs w:val="20"/>
        </w:rPr>
        <w:t>Induction</w:t>
      </w:r>
    </w:p>
    <w:p w14:paraId="5833D14A" w14:textId="77777777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 xml:space="preserve">All </w:t>
      </w:r>
      <w:r w:rsidR="001048AE" w:rsidRPr="004C26A0">
        <w:rPr>
          <w:rFonts w:asciiTheme="minorHAnsi" w:hAnsiTheme="minorHAnsi" w:cstheme="minorHAnsi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sz w:val="20"/>
          <w:szCs w:val="20"/>
        </w:rPr>
        <w:t xml:space="preserve"> and contractors should be provided with an induction program. The induction /orientation program should include</w:t>
      </w:r>
      <w:r w:rsidR="00DD0EF7" w:rsidRPr="004C26A0">
        <w:rPr>
          <w:rFonts w:asciiTheme="minorHAnsi" w:hAnsiTheme="minorHAnsi" w:cstheme="minorHAnsi"/>
          <w:sz w:val="20"/>
          <w:szCs w:val="20"/>
        </w:rPr>
        <w:t>:</w:t>
      </w:r>
    </w:p>
    <w:p w14:paraId="56F0DB66" w14:textId="0A206B86" w:rsidR="006E320D" w:rsidRPr="004C26A0" w:rsidRDefault="006E320D" w:rsidP="00DE5E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A tour of the work/accommodation area</w:t>
      </w:r>
    </w:p>
    <w:p w14:paraId="711DB7E3" w14:textId="57CAFF9C" w:rsidR="006E320D" w:rsidRPr="004C26A0" w:rsidRDefault="006E320D" w:rsidP="00DE5E99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64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An explanation of local amenities</w:t>
      </w:r>
      <w:r w:rsidR="00411783" w:rsidRPr="004C26A0">
        <w:rPr>
          <w:rFonts w:asciiTheme="minorHAnsi" w:hAnsiTheme="minorHAnsi" w:cstheme="minorHAnsi"/>
          <w:sz w:val="20"/>
          <w:szCs w:val="20"/>
        </w:rPr>
        <w:tab/>
      </w:r>
    </w:p>
    <w:p w14:paraId="1C246585" w14:textId="61B5333B" w:rsidR="006E320D" w:rsidRPr="004C26A0" w:rsidRDefault="006E320D" w:rsidP="00DE5E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 xml:space="preserve">Introductions to fellow </w:t>
      </w:r>
      <w:r w:rsidR="001048AE" w:rsidRPr="004C26A0">
        <w:rPr>
          <w:rFonts w:asciiTheme="minorHAnsi" w:hAnsiTheme="minorHAnsi" w:cstheme="minorHAnsi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sz w:val="20"/>
          <w:szCs w:val="20"/>
        </w:rPr>
        <w:t xml:space="preserve"> in their work area </w:t>
      </w:r>
    </w:p>
    <w:p w14:paraId="3B576214" w14:textId="7F814783" w:rsidR="006E320D" w:rsidRPr="004C26A0" w:rsidRDefault="006E320D" w:rsidP="00DE5E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A description of general workplace hazards and safety signs.</w:t>
      </w:r>
    </w:p>
    <w:p w14:paraId="5F9D365D" w14:textId="159CDBEC" w:rsidR="000B329A" w:rsidRPr="004C26A0" w:rsidRDefault="006E320D" w:rsidP="00DE5E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 xml:space="preserve">Specific health and safety instructions relevant to the area. </w:t>
      </w:r>
    </w:p>
    <w:p w14:paraId="0215CEF6" w14:textId="2D3B6DEB" w:rsidR="006E320D" w:rsidRPr="004C26A0" w:rsidRDefault="006E320D" w:rsidP="00DE5E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Details of emergency procedures including fire alarms, fire equipment, evacuation processes, first aid procedures.</w:t>
      </w:r>
    </w:p>
    <w:p w14:paraId="19B15AEF" w14:textId="77777777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It is recommended that written information be included in the induction process.</w:t>
      </w:r>
      <w:r w:rsidR="00DD0EF7" w:rsidRPr="004C26A0">
        <w:rPr>
          <w:rFonts w:asciiTheme="minorHAnsi" w:hAnsiTheme="minorHAnsi" w:cstheme="minorHAnsi"/>
          <w:sz w:val="20"/>
          <w:szCs w:val="20"/>
        </w:rPr>
        <w:t xml:space="preserve"> </w:t>
      </w:r>
      <w:r w:rsidRPr="004C26A0">
        <w:rPr>
          <w:rFonts w:asciiTheme="minorHAnsi" w:hAnsiTheme="minorHAnsi" w:cstheme="minorHAnsi"/>
          <w:sz w:val="20"/>
          <w:szCs w:val="20"/>
        </w:rPr>
        <w:t xml:space="preserve">The special needs of new </w:t>
      </w:r>
      <w:r w:rsidR="001048AE" w:rsidRPr="004C26A0">
        <w:rPr>
          <w:rFonts w:asciiTheme="minorHAnsi" w:hAnsiTheme="minorHAnsi" w:cstheme="minorHAnsi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sz w:val="20"/>
          <w:szCs w:val="20"/>
        </w:rPr>
        <w:t xml:space="preserve"> should be considered prior to commencement.</w:t>
      </w:r>
      <w:r w:rsidR="00DD0EF7" w:rsidRPr="004C26A0">
        <w:rPr>
          <w:rFonts w:asciiTheme="minorHAnsi" w:hAnsiTheme="minorHAnsi" w:cstheme="minorHAnsi"/>
          <w:sz w:val="20"/>
          <w:szCs w:val="20"/>
        </w:rPr>
        <w:t xml:space="preserve"> </w:t>
      </w:r>
      <w:r w:rsidRPr="004C26A0">
        <w:rPr>
          <w:rFonts w:asciiTheme="minorHAnsi" w:hAnsiTheme="minorHAnsi" w:cstheme="minorHAnsi"/>
          <w:sz w:val="20"/>
          <w:szCs w:val="20"/>
        </w:rPr>
        <w:t>Where written information is being provided as part of the consultation it could be either translated into the appropriate languages or accompanied by a summary in plain English or presented in a way that gives people an opportunity to have it explained or clarified in their own language.</w:t>
      </w:r>
    </w:p>
    <w:p w14:paraId="43FA32B5" w14:textId="2A469CFC" w:rsidR="00C47DD2" w:rsidRDefault="00C47DD2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0129EA" w14:textId="31B1E2F4" w:rsidR="00570B0C" w:rsidRDefault="00570B0C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05C88AE" w14:textId="48F42D1D" w:rsidR="00570B0C" w:rsidRDefault="00570B0C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738A53" w14:textId="77777777" w:rsidR="00570B0C" w:rsidRPr="004C26A0" w:rsidRDefault="00570B0C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7816DA" w14:textId="77777777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6A0">
        <w:rPr>
          <w:rFonts w:asciiTheme="minorHAnsi" w:hAnsiTheme="minorHAnsi" w:cstheme="minorHAnsi"/>
          <w:b/>
          <w:bCs/>
          <w:sz w:val="20"/>
          <w:szCs w:val="20"/>
        </w:rPr>
        <w:lastRenderedPageBreak/>
        <w:t>Training</w:t>
      </w:r>
    </w:p>
    <w:p w14:paraId="4A11A5E0" w14:textId="5B0721BC" w:rsidR="00BE2311" w:rsidRPr="004C26A0" w:rsidRDefault="00C45040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Work Health and Safety (</w:t>
      </w:r>
      <w:r w:rsidR="007729B8" w:rsidRPr="004C26A0">
        <w:rPr>
          <w:rFonts w:asciiTheme="minorHAnsi" w:hAnsiTheme="minorHAnsi" w:cstheme="minorHAnsi"/>
          <w:sz w:val="20"/>
          <w:szCs w:val="20"/>
        </w:rPr>
        <w:t>WHS</w:t>
      </w:r>
      <w:r>
        <w:rPr>
          <w:rFonts w:asciiTheme="minorHAnsi" w:hAnsiTheme="minorHAnsi" w:cstheme="minorHAnsi"/>
          <w:sz w:val="20"/>
          <w:szCs w:val="20"/>
        </w:rPr>
        <w:t>)</w:t>
      </w:r>
      <w:r w:rsidR="006E320D" w:rsidRPr="004C26A0">
        <w:rPr>
          <w:rFonts w:asciiTheme="minorHAnsi" w:hAnsiTheme="minorHAnsi" w:cstheme="minorHAnsi"/>
          <w:sz w:val="20"/>
          <w:szCs w:val="20"/>
        </w:rPr>
        <w:t xml:space="preserve"> training should be tailored to the specific needs, including language needs, of the person to be trained. This applies to induction training, on-the job training and ongoing training.</w:t>
      </w:r>
      <w:r w:rsidR="00BE2311" w:rsidRPr="004C26A0">
        <w:rPr>
          <w:rFonts w:asciiTheme="minorHAnsi" w:hAnsiTheme="minorHAnsi" w:cstheme="minorHAnsi"/>
          <w:sz w:val="20"/>
          <w:szCs w:val="20"/>
        </w:rPr>
        <w:t xml:space="preserve"> </w:t>
      </w:r>
      <w:r w:rsidR="00BE2311"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Training can be made available to </w:t>
      </w:r>
      <w:r w:rsidR="001048AE" w:rsidRPr="004C26A0">
        <w:rPr>
          <w:rFonts w:asciiTheme="minorHAnsi" w:hAnsiTheme="minorHAnsi" w:cstheme="minorHAnsi"/>
          <w:color w:val="1F231D"/>
          <w:sz w:val="20"/>
          <w:szCs w:val="20"/>
        </w:rPr>
        <w:t>workers</w:t>
      </w:r>
      <w:r w:rsidR="00BE2311"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in various formats and with audio</w:t>
      </w:r>
      <w:r w:rsidR="004C26A0" w:rsidRPr="004C26A0">
        <w:rPr>
          <w:rFonts w:asciiTheme="minorHAnsi" w:hAnsiTheme="minorHAnsi" w:cstheme="minorHAnsi"/>
          <w:color w:val="1F231D"/>
          <w:sz w:val="20"/>
          <w:szCs w:val="20"/>
        </w:rPr>
        <w:t>/</w:t>
      </w:r>
      <w:r w:rsidR="00BE2311" w:rsidRPr="004C26A0">
        <w:rPr>
          <w:rFonts w:asciiTheme="minorHAnsi" w:hAnsiTheme="minorHAnsi" w:cstheme="minorHAnsi"/>
          <w:color w:val="1F231D"/>
          <w:sz w:val="20"/>
          <w:szCs w:val="20"/>
        </w:rPr>
        <w:t>visual aids</w:t>
      </w:r>
      <w:r w:rsidR="00983906" w:rsidRPr="004C26A0">
        <w:rPr>
          <w:rFonts w:asciiTheme="minorHAnsi" w:hAnsiTheme="minorHAnsi" w:cstheme="minorHAnsi"/>
          <w:color w:val="1F231D"/>
          <w:sz w:val="20"/>
          <w:szCs w:val="20"/>
        </w:rPr>
        <w:t>.</w:t>
      </w:r>
    </w:p>
    <w:p w14:paraId="221565CF" w14:textId="77777777" w:rsidR="00BE2311" w:rsidRPr="004C26A0" w:rsidRDefault="00BE2311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EF6B1A" w14:textId="77777777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6A0">
        <w:rPr>
          <w:rFonts w:asciiTheme="minorHAnsi" w:hAnsiTheme="minorHAnsi" w:cstheme="minorHAnsi"/>
          <w:b/>
          <w:bCs/>
          <w:sz w:val="20"/>
          <w:szCs w:val="20"/>
        </w:rPr>
        <w:t>Communication</w:t>
      </w:r>
    </w:p>
    <w:p w14:paraId="60EC8110" w14:textId="77777777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26A0">
        <w:rPr>
          <w:rFonts w:asciiTheme="minorHAnsi" w:hAnsiTheme="minorHAnsi" w:cstheme="minorHAnsi"/>
          <w:color w:val="000000"/>
          <w:sz w:val="20"/>
          <w:szCs w:val="20"/>
        </w:rPr>
        <w:t xml:space="preserve">When communicating with </w:t>
      </w:r>
      <w:r w:rsidR="001048AE" w:rsidRPr="004C26A0">
        <w:rPr>
          <w:rFonts w:asciiTheme="minorHAnsi" w:hAnsiTheme="minorHAnsi" w:cstheme="minorHAnsi"/>
          <w:color w:val="000000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6C201AA0" w14:textId="77777777" w:rsidR="006E320D" w:rsidRPr="004C26A0" w:rsidRDefault="006E320D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>Ensure clear, accurate and relevant information is supplied.</w:t>
      </w:r>
    </w:p>
    <w:p w14:paraId="26AA67D5" w14:textId="77777777" w:rsidR="006E320D" w:rsidRPr="004C26A0" w:rsidRDefault="006E320D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iCs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Provide instructions in a straightforward and logical sequence. </w:t>
      </w:r>
    </w:p>
    <w:p w14:paraId="725E2C05" w14:textId="77777777" w:rsidR="006E320D" w:rsidRPr="004C26A0" w:rsidRDefault="006E320D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>Avoid jargon (unless clearly explained as part of the industry/company culture) and</w:t>
      </w:r>
      <w:r w:rsidR="00E87AFB"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>unfam</w:t>
      </w:r>
      <w:r w:rsidR="00DD0EF7" w:rsidRPr="004C26A0">
        <w:rPr>
          <w:rFonts w:asciiTheme="minorHAnsi" w:hAnsiTheme="minorHAnsi" w:cstheme="minorHAnsi"/>
          <w:color w:val="1F231D"/>
          <w:sz w:val="20"/>
          <w:szCs w:val="20"/>
        </w:rPr>
        <w:t>iliar or overly technical terms).</w:t>
      </w:r>
    </w:p>
    <w:p w14:paraId="21CBAD43" w14:textId="77777777" w:rsidR="006E320D" w:rsidRPr="004C26A0" w:rsidRDefault="006E320D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Read through documents and explain to any </w:t>
      </w:r>
      <w:r w:rsidR="001048AE" w:rsidRPr="004C26A0">
        <w:rPr>
          <w:rFonts w:asciiTheme="minorHAnsi" w:hAnsiTheme="minorHAnsi" w:cstheme="minorHAnsi"/>
          <w:color w:val="1F231D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with literacy needs.</w:t>
      </w:r>
    </w:p>
    <w:p w14:paraId="1DC2971E" w14:textId="77777777" w:rsidR="006E320D" w:rsidRPr="004C26A0" w:rsidRDefault="006E320D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>Use multiple methods of communication such as verbal, visual and audio - don’t just</w:t>
      </w:r>
      <w:r w:rsidR="00E87AFB"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>rely on written forms.</w:t>
      </w:r>
    </w:p>
    <w:p w14:paraId="06DA3228" w14:textId="0ECB3246" w:rsidR="0085371D" w:rsidRPr="004C26A0" w:rsidRDefault="0085371D" w:rsidP="00DE5E99">
      <w:pPr>
        <w:spacing w:after="0" w:line="240" w:lineRule="auto"/>
        <w:jc w:val="both"/>
        <w:rPr>
          <w:rFonts w:asciiTheme="minorHAnsi" w:hAnsiTheme="minorHAnsi" w:cstheme="minorHAnsi"/>
          <w:b/>
          <w:color w:val="1F231D"/>
          <w:sz w:val="16"/>
          <w:szCs w:val="16"/>
        </w:rPr>
      </w:pPr>
    </w:p>
    <w:p w14:paraId="4D2C2114" w14:textId="4B188604" w:rsidR="006E320D" w:rsidRPr="004C26A0" w:rsidRDefault="006E320D" w:rsidP="00DE5E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b/>
          <w:color w:val="1F231D"/>
          <w:sz w:val="20"/>
          <w:szCs w:val="20"/>
        </w:rPr>
        <w:t>In addition:</w:t>
      </w:r>
    </w:p>
    <w:p w14:paraId="30FDEB89" w14:textId="77777777" w:rsidR="006E320D" w:rsidRPr="004C26A0" w:rsidRDefault="006E320D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>Display pictorial/multilingual safety signs – where appropriate.</w:t>
      </w:r>
    </w:p>
    <w:p w14:paraId="1841B67F" w14:textId="77777777" w:rsidR="00E87AFB" w:rsidRPr="004C26A0" w:rsidRDefault="006E320D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Request the </w:t>
      </w:r>
      <w:r w:rsidR="001048AE" w:rsidRPr="004C26A0">
        <w:rPr>
          <w:rFonts w:asciiTheme="minorHAnsi" w:hAnsiTheme="minorHAnsi" w:cstheme="minorHAnsi"/>
          <w:color w:val="1F231D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demonstrate their understanding of the job</w:t>
      </w:r>
    </w:p>
    <w:p w14:paraId="2C02E3CE" w14:textId="77777777" w:rsidR="00E87AFB" w:rsidRPr="004C26A0" w:rsidRDefault="00E87AFB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Use accredited interpreters when communicating with </w:t>
      </w:r>
      <w:r w:rsidR="00983906"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CALD </w:t>
      </w:r>
      <w:r w:rsidR="001048AE" w:rsidRPr="004C26A0">
        <w:rPr>
          <w:rFonts w:asciiTheme="minorHAnsi" w:hAnsiTheme="minorHAnsi" w:cstheme="minorHAnsi"/>
          <w:color w:val="1F231D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, or Auslan interpreters for </w:t>
      </w:r>
      <w:r w:rsidR="001048AE" w:rsidRPr="004C26A0">
        <w:rPr>
          <w:rFonts w:asciiTheme="minorHAnsi" w:hAnsiTheme="minorHAnsi" w:cstheme="minorHAnsi"/>
          <w:color w:val="1F231D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with a hearing impairment.</w:t>
      </w:r>
    </w:p>
    <w:p w14:paraId="05EA1C1F" w14:textId="77777777" w:rsidR="001268B9" w:rsidRPr="004C26A0" w:rsidRDefault="00E87AFB" w:rsidP="00DE5E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1F231D"/>
          <w:sz w:val="20"/>
          <w:szCs w:val="20"/>
        </w:rPr>
      </w:pP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Utilise the skills of bilingual </w:t>
      </w:r>
      <w:r w:rsidR="001048AE" w:rsidRPr="004C26A0">
        <w:rPr>
          <w:rFonts w:asciiTheme="minorHAnsi" w:hAnsiTheme="minorHAnsi" w:cstheme="minorHAnsi"/>
          <w:color w:val="1F231D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in communicating information - these </w:t>
      </w:r>
      <w:r w:rsidR="001048AE" w:rsidRPr="004C26A0">
        <w:rPr>
          <w:rFonts w:asciiTheme="minorHAnsi" w:hAnsiTheme="minorHAnsi" w:cstheme="minorHAnsi"/>
          <w:color w:val="1F231D"/>
          <w:sz w:val="20"/>
          <w:szCs w:val="20"/>
        </w:rPr>
        <w:t>workers</w:t>
      </w:r>
      <w:r w:rsidRPr="004C26A0">
        <w:rPr>
          <w:rFonts w:asciiTheme="minorHAnsi" w:hAnsiTheme="minorHAnsi" w:cstheme="minorHAnsi"/>
          <w:color w:val="1F231D"/>
          <w:sz w:val="20"/>
          <w:szCs w:val="20"/>
        </w:rPr>
        <w:t xml:space="preserve"> may need training to undertake their role</w:t>
      </w:r>
    </w:p>
    <w:p w14:paraId="01459347" w14:textId="77777777" w:rsidR="007729B8" w:rsidRPr="004C26A0" w:rsidRDefault="007729B8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C88D0E" w14:textId="28567D14" w:rsidR="00983906" w:rsidRPr="004C26A0" w:rsidRDefault="000B329A" w:rsidP="00DE5E99">
      <w:pPr>
        <w:spacing w:after="0" w:line="240" w:lineRule="auto"/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4C26A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References</w:t>
      </w:r>
    </w:p>
    <w:p w14:paraId="6FD84E17" w14:textId="77777777" w:rsidR="00C47DD2" w:rsidRPr="004C26A0" w:rsidRDefault="008F416D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Work Health &amp; Safety Act 2012 (SA)</w:t>
      </w:r>
    </w:p>
    <w:p w14:paraId="5838B9DF" w14:textId="77777777" w:rsidR="008F416D" w:rsidRPr="004C26A0" w:rsidRDefault="008F416D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Work Health &amp; Safety Regulations 2012 (SA)</w:t>
      </w:r>
    </w:p>
    <w:p w14:paraId="133F810C" w14:textId="77777777" w:rsidR="007729B8" w:rsidRPr="004C26A0" w:rsidRDefault="007729B8" w:rsidP="00DE5E99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5AEE08A" w14:textId="1909214A" w:rsidR="00983906" w:rsidRPr="004C26A0" w:rsidRDefault="000B329A" w:rsidP="00DE5E99">
      <w:pPr>
        <w:spacing w:after="0" w:line="240" w:lineRule="auto"/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4C26A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Forms</w:t>
      </w:r>
    </w:p>
    <w:p w14:paraId="30E90053" w14:textId="77777777" w:rsidR="00C47DD2" w:rsidRPr="004C26A0" w:rsidRDefault="00293F33" w:rsidP="00DE5E9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26A0">
        <w:rPr>
          <w:rFonts w:asciiTheme="minorHAnsi" w:hAnsiTheme="minorHAnsi" w:cstheme="minorHAnsi"/>
          <w:sz w:val="20"/>
          <w:szCs w:val="20"/>
        </w:rPr>
        <w:t>Nil</w:t>
      </w:r>
    </w:p>
    <w:p w14:paraId="75BE4318" w14:textId="77777777" w:rsidR="00983906" w:rsidRPr="004C26A0" w:rsidRDefault="00983906" w:rsidP="00DE5E99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6010074" w14:textId="7F7B4006" w:rsidR="000B329A" w:rsidRPr="004C26A0" w:rsidRDefault="000B329A" w:rsidP="00DE5E99">
      <w:pPr>
        <w:spacing w:after="0"/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4C26A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Authority</w:t>
      </w:r>
    </w:p>
    <w:p w14:paraId="4E111D83" w14:textId="77777777" w:rsidR="007729B8" w:rsidRPr="004C26A0" w:rsidRDefault="007729B8" w:rsidP="00DE5E99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26A0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365416DF" w14:textId="77777777" w:rsidR="000B329A" w:rsidRPr="004C26A0" w:rsidRDefault="000B329A" w:rsidP="00DE5E99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A60AA7" w14:textId="77777777" w:rsidR="007729B8" w:rsidRPr="004C26A0" w:rsidRDefault="007729B8" w:rsidP="00DE5E99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26A0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Pr="004C26A0">
        <w:rPr>
          <w:rFonts w:asciiTheme="minorHAnsi" w:hAnsiTheme="minorHAnsi" w:cstheme="minorHAnsi"/>
          <w:sz w:val="20"/>
          <w:szCs w:val="20"/>
        </w:rPr>
        <w:t>${officer}</w:t>
      </w:r>
      <w:r w:rsidRPr="004C26A0">
        <w:rPr>
          <w:rFonts w:asciiTheme="minorHAnsi" w:hAnsiTheme="minorHAnsi" w:cstheme="minorHAnsi"/>
          <w:b/>
          <w:sz w:val="20"/>
          <w:szCs w:val="20"/>
        </w:rPr>
        <w:t xml:space="preserve">              Title: </w:t>
      </w:r>
      <w:r w:rsidRPr="004C26A0">
        <w:rPr>
          <w:rFonts w:asciiTheme="minorHAnsi" w:hAnsiTheme="minorHAnsi" w:cstheme="minorHAnsi"/>
          <w:sz w:val="20"/>
          <w:szCs w:val="20"/>
        </w:rPr>
        <w:t>${role}</w:t>
      </w:r>
    </w:p>
    <w:p w14:paraId="59F356E6" w14:textId="77777777" w:rsidR="00E51F9D" w:rsidRPr="004C26A0" w:rsidRDefault="007729B8" w:rsidP="00DE5E99">
      <w:pPr>
        <w:spacing w:after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4C26A0">
        <w:rPr>
          <w:rFonts w:asciiTheme="minorHAnsi" w:hAnsiTheme="minorHAnsi" w:cstheme="minorHAnsi"/>
          <w:b/>
          <w:sz w:val="20"/>
          <w:szCs w:val="20"/>
        </w:rPr>
        <w:t xml:space="preserve">Date: </w:t>
      </w:r>
      <w:r w:rsidRPr="004C26A0">
        <w:rPr>
          <w:rFonts w:asciiTheme="minorHAnsi" w:hAnsiTheme="minorHAnsi" w:cstheme="minorHAnsi"/>
          <w:sz w:val="20"/>
          <w:szCs w:val="20"/>
        </w:rPr>
        <w:t>${date}</w:t>
      </w:r>
      <w:r w:rsidRPr="004C26A0">
        <w:rPr>
          <w:rFonts w:asciiTheme="minorHAnsi" w:hAnsiTheme="minorHAnsi" w:cstheme="minorHAnsi"/>
          <w:b/>
          <w:sz w:val="20"/>
          <w:szCs w:val="20"/>
        </w:rPr>
        <w:tab/>
      </w:r>
      <w:r w:rsidR="00E51F9D" w:rsidRPr="004C26A0">
        <w:rPr>
          <w:rFonts w:asciiTheme="minorHAnsi" w:hAnsiTheme="minorHAnsi" w:cstheme="minorHAnsi"/>
          <w:b/>
          <w:sz w:val="16"/>
          <w:szCs w:val="16"/>
        </w:rPr>
        <w:tab/>
      </w:r>
      <w:r w:rsidR="00E51F9D" w:rsidRPr="004C26A0">
        <w:rPr>
          <w:rFonts w:asciiTheme="minorHAnsi" w:hAnsiTheme="minorHAnsi" w:cstheme="minorHAnsi"/>
          <w:b/>
          <w:sz w:val="16"/>
          <w:szCs w:val="16"/>
        </w:rPr>
        <w:tab/>
      </w:r>
    </w:p>
    <w:p w14:paraId="6759922A" w14:textId="77777777" w:rsidR="00E51F9D" w:rsidRPr="004C26A0" w:rsidRDefault="00E51F9D" w:rsidP="00DE5E9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72494E0A" w14:textId="3BA61F89" w:rsidR="001268B9" w:rsidRDefault="001268B9" w:rsidP="00DE5E99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4C26A0">
        <w:rPr>
          <w:rFonts w:asciiTheme="minorHAnsi" w:hAnsiTheme="minorHAnsi" w:cstheme="minorHAnsi"/>
          <w:b/>
          <w:sz w:val="16"/>
          <w:szCs w:val="16"/>
        </w:rPr>
        <w:tab/>
      </w:r>
    </w:p>
    <w:p w14:paraId="6F14965F" w14:textId="03D99EEB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4EB26022" w14:textId="2C1ECC1F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34899DF3" w14:textId="1E7D4135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463B3E22" w14:textId="69CB7AD0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3E335CF2" w14:textId="53819285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2CDED3A8" w14:textId="7B6A979D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43475C18" w14:textId="23A4DA84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065FAC9C" w14:textId="1F6D880F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48096172" w14:textId="2AEC1C85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3F0EE672" w14:textId="39AB6BDF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0056164B" w14:textId="01A1EB47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3BCBC6D4" w14:textId="13979889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39C36C94" w14:textId="19293512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5CE5BC11" w14:textId="746CD1C8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p w14:paraId="0DB8DE4B" w14:textId="0834A7CF" w:rsidR="00C45040" w:rsidRDefault="00C45040" w:rsidP="00C45040">
      <w:pPr>
        <w:rPr>
          <w:rFonts w:asciiTheme="minorHAnsi" w:hAnsiTheme="minorHAnsi" w:cstheme="minorHAnsi"/>
          <w:b/>
          <w:sz w:val="16"/>
          <w:szCs w:val="16"/>
        </w:rPr>
      </w:pPr>
    </w:p>
    <w:p w14:paraId="67166B64" w14:textId="77777777" w:rsidR="00C45040" w:rsidRPr="00C45040" w:rsidRDefault="00C45040" w:rsidP="00C45040">
      <w:pPr>
        <w:rPr>
          <w:rFonts w:asciiTheme="minorHAnsi" w:hAnsiTheme="minorHAnsi" w:cstheme="minorHAnsi"/>
          <w:sz w:val="16"/>
          <w:szCs w:val="16"/>
        </w:rPr>
      </w:pPr>
    </w:p>
    <w:sectPr w:rsidR="00C45040" w:rsidRPr="00C45040" w:rsidSect="003F5155">
      <w:headerReference w:type="default" r:id="rId8"/>
      <w:footerReference w:type="default" r:id="rId9"/>
      <w:pgSz w:w="11906" w:h="16838"/>
      <w:pgMar w:top="1134" w:right="1304" w:bottom="851" w:left="130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7FB5" w14:textId="77777777" w:rsidR="005C6CA3" w:rsidRDefault="005C6CA3" w:rsidP="006419CA">
      <w:pPr>
        <w:spacing w:after="0" w:line="240" w:lineRule="auto"/>
      </w:pPr>
      <w:r>
        <w:separator/>
      </w:r>
    </w:p>
  </w:endnote>
  <w:endnote w:type="continuationSeparator" w:id="0">
    <w:p w14:paraId="11B64664" w14:textId="77777777" w:rsidR="005C6CA3" w:rsidRDefault="005C6CA3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F83D" w14:textId="5602F908" w:rsidR="00983906" w:rsidRPr="004C26A0" w:rsidRDefault="00983906">
    <w:pPr>
      <w:pStyle w:val="Footer"/>
      <w:rPr>
        <w:rFonts w:asciiTheme="minorHAnsi" w:hAnsiTheme="minorHAnsi" w:cstheme="minorHAnsi"/>
        <w:sz w:val="16"/>
        <w:szCs w:val="16"/>
      </w:rPr>
    </w:pPr>
    <w:r w:rsidRPr="004C26A0">
      <w:rPr>
        <w:rFonts w:asciiTheme="minorHAnsi" w:hAnsiTheme="minorHAnsi" w:cstheme="minorHAnsi"/>
        <w:sz w:val="16"/>
        <w:szCs w:val="16"/>
      </w:rPr>
      <w:t>Provision of Information for CALD</w:t>
    </w:r>
    <w:r w:rsidR="000B329A" w:rsidRPr="004C26A0">
      <w:rPr>
        <w:rFonts w:asciiTheme="minorHAnsi" w:hAnsiTheme="minorHAnsi" w:cstheme="minorHAnsi"/>
        <w:sz w:val="16"/>
        <w:szCs w:val="16"/>
      </w:rPr>
      <w:t xml:space="preserve"> V2.0</w:t>
    </w:r>
    <w:r w:rsidR="0085371D" w:rsidRPr="004C26A0">
      <w:rPr>
        <w:rFonts w:asciiTheme="minorHAnsi" w:hAnsiTheme="minorHAnsi" w:cstheme="minorHAnsi"/>
        <w:sz w:val="16"/>
        <w:szCs w:val="16"/>
      </w:rPr>
      <w:tab/>
    </w:r>
    <w:r w:rsidR="0085371D" w:rsidRPr="004C26A0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85371D" w:rsidRPr="004C26A0">
      <w:rPr>
        <w:rFonts w:asciiTheme="minorHAnsi" w:hAnsiTheme="minorHAnsi" w:cstheme="minorHAnsi"/>
        <w:b/>
        <w:sz w:val="16"/>
        <w:szCs w:val="16"/>
      </w:rPr>
      <w:t>SMART</w:t>
    </w:r>
    <w:r w:rsidR="0085371D" w:rsidRPr="004C26A0">
      <w:rPr>
        <w:rFonts w:asciiTheme="minorHAnsi" w:hAnsiTheme="minorHAnsi" w:cstheme="minorHAnsi"/>
        <w:sz w:val="16"/>
        <w:szCs w:val="16"/>
      </w:rPr>
      <w:t>KIT</w:t>
    </w:r>
  </w:p>
  <w:p w14:paraId="18B50BA9" w14:textId="00053277" w:rsidR="003F5155" w:rsidRPr="004C26A0" w:rsidRDefault="003F5155" w:rsidP="003F5155">
    <w:pPr>
      <w:pStyle w:val="Footer"/>
      <w:rPr>
        <w:rFonts w:asciiTheme="minorHAnsi" w:hAnsiTheme="minorHAnsi" w:cstheme="minorHAnsi"/>
        <w:sz w:val="16"/>
        <w:szCs w:val="16"/>
      </w:rPr>
    </w:pPr>
    <w:r w:rsidRPr="004C26A0">
      <w:rPr>
        <w:rFonts w:asciiTheme="minorHAnsi" w:hAnsiTheme="minorHAnsi" w:cstheme="minorHAnsi"/>
        <w:sz w:val="16"/>
        <w:szCs w:val="16"/>
      </w:rPr>
      <w:t>Issue Date ${date}</w:t>
    </w:r>
    <w:r w:rsidR="000B329A" w:rsidRPr="004C26A0">
      <w:rPr>
        <w:rFonts w:asciiTheme="minorHAnsi" w:hAnsiTheme="minorHAnsi" w:cstheme="minorHAnsi"/>
        <w:sz w:val="16"/>
        <w:szCs w:val="16"/>
      </w:rPr>
      <w:tab/>
    </w:r>
    <w:r w:rsidR="000B329A" w:rsidRPr="004C26A0">
      <w:rPr>
        <w:rFonts w:asciiTheme="minorHAnsi" w:hAnsiTheme="minorHAnsi" w:cstheme="minorHAnsi"/>
        <w:sz w:val="16"/>
        <w:szCs w:val="16"/>
      </w:rPr>
      <w:tab/>
      <w:t xml:space="preserve">Page </w:t>
    </w:r>
    <w:r w:rsidR="000B329A" w:rsidRPr="004C26A0">
      <w:rPr>
        <w:rFonts w:asciiTheme="minorHAnsi" w:hAnsiTheme="minorHAnsi" w:cstheme="minorHAnsi"/>
        <w:sz w:val="16"/>
        <w:szCs w:val="16"/>
      </w:rPr>
      <w:fldChar w:fldCharType="begin"/>
    </w:r>
    <w:r w:rsidR="000B329A" w:rsidRPr="004C26A0">
      <w:rPr>
        <w:rFonts w:asciiTheme="minorHAnsi" w:hAnsiTheme="minorHAnsi" w:cstheme="minorHAnsi"/>
        <w:sz w:val="16"/>
        <w:szCs w:val="16"/>
      </w:rPr>
      <w:instrText xml:space="preserve"> PAGE </w:instrText>
    </w:r>
    <w:r w:rsidR="000B329A" w:rsidRPr="004C26A0">
      <w:rPr>
        <w:rFonts w:asciiTheme="minorHAnsi" w:hAnsiTheme="minorHAnsi" w:cstheme="minorHAnsi"/>
        <w:sz w:val="16"/>
        <w:szCs w:val="16"/>
      </w:rPr>
      <w:fldChar w:fldCharType="separate"/>
    </w:r>
    <w:r w:rsidR="0085371D" w:rsidRPr="004C26A0">
      <w:rPr>
        <w:rFonts w:asciiTheme="minorHAnsi" w:hAnsiTheme="minorHAnsi" w:cstheme="minorHAnsi"/>
        <w:noProof/>
        <w:sz w:val="16"/>
        <w:szCs w:val="16"/>
      </w:rPr>
      <w:t>1</w:t>
    </w:r>
    <w:r w:rsidR="000B329A" w:rsidRPr="004C26A0">
      <w:rPr>
        <w:rFonts w:asciiTheme="minorHAnsi" w:hAnsiTheme="minorHAnsi" w:cstheme="minorHAnsi"/>
        <w:sz w:val="16"/>
        <w:szCs w:val="16"/>
      </w:rPr>
      <w:fldChar w:fldCharType="end"/>
    </w:r>
    <w:r w:rsidR="000B329A" w:rsidRPr="004C26A0">
      <w:rPr>
        <w:rFonts w:asciiTheme="minorHAnsi" w:hAnsiTheme="minorHAnsi" w:cstheme="minorHAnsi"/>
        <w:sz w:val="16"/>
        <w:szCs w:val="16"/>
      </w:rPr>
      <w:t xml:space="preserve"> of </w:t>
    </w:r>
    <w:r w:rsidR="000B329A" w:rsidRPr="004C26A0">
      <w:rPr>
        <w:rFonts w:asciiTheme="minorHAnsi" w:hAnsiTheme="minorHAnsi" w:cstheme="minorHAnsi"/>
        <w:b/>
        <w:sz w:val="16"/>
        <w:szCs w:val="16"/>
      </w:rPr>
      <w:fldChar w:fldCharType="begin"/>
    </w:r>
    <w:r w:rsidR="000B329A" w:rsidRPr="004C26A0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0B329A" w:rsidRPr="004C26A0">
      <w:rPr>
        <w:rFonts w:asciiTheme="minorHAnsi" w:hAnsiTheme="minorHAnsi" w:cstheme="minorHAnsi"/>
        <w:b/>
        <w:sz w:val="16"/>
        <w:szCs w:val="16"/>
      </w:rPr>
      <w:fldChar w:fldCharType="separate"/>
    </w:r>
    <w:r w:rsidR="0085371D" w:rsidRPr="004C26A0">
      <w:rPr>
        <w:rFonts w:asciiTheme="minorHAnsi" w:hAnsiTheme="minorHAnsi" w:cstheme="minorHAnsi"/>
        <w:b/>
        <w:noProof/>
        <w:sz w:val="16"/>
        <w:szCs w:val="16"/>
      </w:rPr>
      <w:t>2</w:t>
    </w:r>
    <w:r w:rsidR="000B329A" w:rsidRPr="004C26A0">
      <w:rPr>
        <w:rFonts w:asciiTheme="minorHAnsi" w:hAnsiTheme="minorHAnsi" w:cstheme="minorHAnsi"/>
        <w:b/>
        <w:sz w:val="16"/>
        <w:szCs w:val="16"/>
      </w:rPr>
      <w:fldChar w:fldCharType="end"/>
    </w:r>
  </w:p>
  <w:p w14:paraId="748D2184" w14:textId="1D0A8482" w:rsidR="00983906" w:rsidRPr="004C26A0" w:rsidRDefault="003F5155" w:rsidP="003F5155">
    <w:pPr>
      <w:pStyle w:val="Footer"/>
      <w:rPr>
        <w:rFonts w:asciiTheme="minorHAnsi" w:hAnsiTheme="minorHAnsi" w:cstheme="minorHAnsi"/>
        <w:sz w:val="16"/>
        <w:szCs w:val="16"/>
      </w:rPr>
    </w:pPr>
    <w:r w:rsidRPr="004C26A0">
      <w:rPr>
        <w:rFonts w:asciiTheme="minorHAnsi" w:hAnsiTheme="minorHAnsi" w:cstheme="minorHAnsi"/>
        <w:sz w:val="16"/>
        <w:szCs w:val="16"/>
      </w:rPr>
      <w:t>Review Date ${review}</w:t>
    </w:r>
    <w:r w:rsidR="00983906" w:rsidRPr="004C26A0">
      <w:rPr>
        <w:rFonts w:asciiTheme="minorHAnsi" w:hAnsiTheme="minorHAnsi" w:cstheme="minorHAnsi"/>
        <w:sz w:val="16"/>
        <w:szCs w:val="16"/>
      </w:rPr>
      <w:tab/>
    </w:r>
    <w:r w:rsidR="00983906" w:rsidRPr="004C26A0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67C3" w14:textId="77777777" w:rsidR="005C6CA3" w:rsidRDefault="005C6CA3" w:rsidP="006419CA">
      <w:pPr>
        <w:spacing w:after="0" w:line="240" w:lineRule="auto"/>
      </w:pPr>
      <w:r>
        <w:separator/>
      </w:r>
    </w:p>
  </w:footnote>
  <w:footnote w:type="continuationSeparator" w:id="0">
    <w:p w14:paraId="7331B9B5" w14:textId="77777777" w:rsidR="005C6CA3" w:rsidRDefault="005C6CA3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EB5F" w14:textId="7A0BAAFE" w:rsidR="00983906" w:rsidRPr="004C26A0" w:rsidRDefault="007729B8" w:rsidP="002E5F3C">
    <w:pPr>
      <w:pStyle w:val="Header"/>
      <w:tabs>
        <w:tab w:val="clear" w:pos="9026"/>
      </w:tabs>
      <w:rPr>
        <w:rFonts w:asciiTheme="minorHAnsi" w:hAnsiTheme="minorHAnsi" w:cstheme="minorHAnsi"/>
        <w:sz w:val="16"/>
        <w:szCs w:val="16"/>
      </w:rPr>
    </w:pPr>
    <w:r w:rsidRPr="004C26A0">
      <w:rPr>
        <w:rFonts w:asciiTheme="minorHAnsi" w:hAnsiTheme="minorHAnsi" w:cstheme="minorHAnsi"/>
        <w:sz w:val="16"/>
        <w:szCs w:val="16"/>
      </w:rPr>
      <w:t>${legalname}</w:t>
    </w:r>
    <w:r w:rsidR="000019E6" w:rsidRPr="004C26A0">
      <w:rPr>
        <w:rFonts w:asciiTheme="minorHAnsi" w:hAnsiTheme="minorHAnsi" w:cstheme="minorHAnsi"/>
        <w:sz w:val="16"/>
        <w:szCs w:val="16"/>
      </w:rPr>
      <w:t xml:space="preserve"> </w:t>
    </w:r>
    <w:r w:rsidR="000019E6" w:rsidRPr="004C26A0">
      <w:rPr>
        <w:rFonts w:asciiTheme="minorHAnsi" w:hAnsiTheme="minorHAnsi" w:cstheme="minorHAnsi"/>
        <w:sz w:val="16"/>
        <w:szCs w:val="16"/>
      </w:rPr>
      <w:tab/>
    </w:r>
    <w:r w:rsidR="0085371D" w:rsidRPr="004C26A0">
      <w:rPr>
        <w:rFonts w:asciiTheme="minorHAnsi" w:hAnsiTheme="minorHAnsi" w:cstheme="minorHAnsi"/>
        <w:sz w:val="16"/>
        <w:szCs w:val="16"/>
      </w:rPr>
      <w:tab/>
    </w:r>
    <w:r w:rsidR="0085371D" w:rsidRPr="004C26A0">
      <w:rPr>
        <w:rFonts w:asciiTheme="minorHAnsi" w:hAnsiTheme="minorHAnsi" w:cstheme="minorHAnsi"/>
        <w:sz w:val="16"/>
        <w:szCs w:val="16"/>
      </w:rPr>
      <w:tab/>
    </w:r>
    <w:r w:rsidR="000019E6" w:rsidRPr="004C26A0">
      <w:rPr>
        <w:rFonts w:asciiTheme="minorHAnsi" w:hAnsiTheme="minorHAnsi" w:cstheme="minorHAnsi"/>
        <w:sz w:val="16"/>
        <w:szCs w:val="16"/>
      </w:rPr>
      <w:tab/>
    </w:r>
    <w:r w:rsidR="000019E6" w:rsidRPr="004C26A0">
      <w:rPr>
        <w:rFonts w:asciiTheme="minorHAnsi" w:hAnsiTheme="minorHAnsi" w:cstheme="minorHAnsi"/>
        <w:sz w:val="16"/>
        <w:szCs w:val="16"/>
      </w:rPr>
      <w:tab/>
    </w:r>
    <w:r w:rsidR="000019E6" w:rsidRPr="004C26A0">
      <w:rPr>
        <w:rFonts w:asciiTheme="minorHAnsi" w:hAnsiTheme="minorHAnsi" w:cstheme="minorHAnsi"/>
        <w:sz w:val="16"/>
        <w:szCs w:val="16"/>
      </w:rPr>
      <w:tab/>
    </w:r>
    <w:r w:rsidR="00983906" w:rsidRPr="004C26A0">
      <w:rPr>
        <w:rFonts w:asciiTheme="minorHAnsi" w:hAnsiTheme="minorHAnsi" w:cstheme="minorHAnsi"/>
        <w:sz w:val="16"/>
        <w:szCs w:val="16"/>
      </w:rPr>
      <w:t xml:space="preserve"> WHSPRO - 321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DF3"/>
    <w:multiLevelType w:val="hybridMultilevel"/>
    <w:tmpl w:val="940E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04AB"/>
    <w:multiLevelType w:val="hybridMultilevel"/>
    <w:tmpl w:val="7B5A9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65FA3"/>
    <w:multiLevelType w:val="hybridMultilevel"/>
    <w:tmpl w:val="51B03AC4"/>
    <w:lvl w:ilvl="0" w:tplc="397A4576">
      <w:numFmt w:val="bullet"/>
      <w:lvlText w:val="•"/>
      <w:lvlJc w:val="left"/>
      <w:pPr>
        <w:ind w:left="720" w:hanging="360"/>
      </w:pPr>
      <w:rPr>
        <w:rFonts w:ascii="Calibri" w:eastAsia="Calibri" w:hAnsi="Calibri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F566D"/>
    <w:multiLevelType w:val="hybridMultilevel"/>
    <w:tmpl w:val="8DEC2516"/>
    <w:lvl w:ilvl="0" w:tplc="6E5892DC">
      <w:numFmt w:val="bullet"/>
      <w:lvlText w:val="•"/>
      <w:lvlJc w:val="left"/>
      <w:pPr>
        <w:ind w:left="720" w:hanging="360"/>
      </w:pPr>
      <w:rPr>
        <w:rFonts w:ascii="Calibri" w:eastAsia="Calibri" w:hAnsi="Calibri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7191A"/>
    <w:multiLevelType w:val="hybridMultilevel"/>
    <w:tmpl w:val="5A98F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258752">
    <w:abstractNumId w:val="4"/>
  </w:num>
  <w:num w:numId="2" w16cid:durableId="645087020">
    <w:abstractNumId w:val="0"/>
  </w:num>
  <w:num w:numId="3" w16cid:durableId="809175661">
    <w:abstractNumId w:val="3"/>
  </w:num>
  <w:num w:numId="4" w16cid:durableId="1909529937">
    <w:abstractNumId w:val="2"/>
  </w:num>
  <w:num w:numId="5" w16cid:durableId="45305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CA"/>
    <w:rsid w:val="000019E6"/>
    <w:rsid w:val="00007E8C"/>
    <w:rsid w:val="00022503"/>
    <w:rsid w:val="000B329A"/>
    <w:rsid w:val="001048AE"/>
    <w:rsid w:val="001268B9"/>
    <w:rsid w:val="001459B1"/>
    <w:rsid w:val="00195A7C"/>
    <w:rsid w:val="0022641B"/>
    <w:rsid w:val="00292B25"/>
    <w:rsid w:val="00293408"/>
    <w:rsid w:val="00293F33"/>
    <w:rsid w:val="002A033B"/>
    <w:rsid w:val="002B4E6F"/>
    <w:rsid w:val="002E5519"/>
    <w:rsid w:val="002E5F3C"/>
    <w:rsid w:val="00310E26"/>
    <w:rsid w:val="00392918"/>
    <w:rsid w:val="003F4F30"/>
    <w:rsid w:val="003F5155"/>
    <w:rsid w:val="00405FEE"/>
    <w:rsid w:val="00411783"/>
    <w:rsid w:val="004629FB"/>
    <w:rsid w:val="0047448E"/>
    <w:rsid w:val="00480AC2"/>
    <w:rsid w:val="004938A6"/>
    <w:rsid w:val="004A74BE"/>
    <w:rsid w:val="004C26A0"/>
    <w:rsid w:val="004C3F29"/>
    <w:rsid w:val="00523E7F"/>
    <w:rsid w:val="00570B0C"/>
    <w:rsid w:val="00594969"/>
    <w:rsid w:val="005C6CA3"/>
    <w:rsid w:val="005F5BA6"/>
    <w:rsid w:val="00605DFF"/>
    <w:rsid w:val="006112AA"/>
    <w:rsid w:val="00632067"/>
    <w:rsid w:val="006419CA"/>
    <w:rsid w:val="006E320D"/>
    <w:rsid w:val="006E4AFB"/>
    <w:rsid w:val="00753AEE"/>
    <w:rsid w:val="007729B8"/>
    <w:rsid w:val="0078174B"/>
    <w:rsid w:val="007A2021"/>
    <w:rsid w:val="007B65A6"/>
    <w:rsid w:val="00814B28"/>
    <w:rsid w:val="00837252"/>
    <w:rsid w:val="008512FF"/>
    <w:rsid w:val="0085371D"/>
    <w:rsid w:val="008635EE"/>
    <w:rsid w:val="008839C9"/>
    <w:rsid w:val="0089317F"/>
    <w:rsid w:val="008B4EC8"/>
    <w:rsid w:val="008D05E7"/>
    <w:rsid w:val="008F416D"/>
    <w:rsid w:val="009565A1"/>
    <w:rsid w:val="00983906"/>
    <w:rsid w:val="00A47BDF"/>
    <w:rsid w:val="00A8675B"/>
    <w:rsid w:val="00AD0B5B"/>
    <w:rsid w:val="00AD6F71"/>
    <w:rsid w:val="00AF36D3"/>
    <w:rsid w:val="00B679A8"/>
    <w:rsid w:val="00B9413C"/>
    <w:rsid w:val="00BA3C15"/>
    <w:rsid w:val="00BC24C9"/>
    <w:rsid w:val="00BC42F0"/>
    <w:rsid w:val="00BC5D4A"/>
    <w:rsid w:val="00BE2311"/>
    <w:rsid w:val="00C45040"/>
    <w:rsid w:val="00C47DD2"/>
    <w:rsid w:val="00CB4F31"/>
    <w:rsid w:val="00CB7941"/>
    <w:rsid w:val="00D6140A"/>
    <w:rsid w:val="00D702C2"/>
    <w:rsid w:val="00DA60E6"/>
    <w:rsid w:val="00DD0EF7"/>
    <w:rsid w:val="00DD172A"/>
    <w:rsid w:val="00DE5E99"/>
    <w:rsid w:val="00E1244B"/>
    <w:rsid w:val="00E33B69"/>
    <w:rsid w:val="00E447D7"/>
    <w:rsid w:val="00E51F9D"/>
    <w:rsid w:val="00E5594E"/>
    <w:rsid w:val="00E619A6"/>
    <w:rsid w:val="00E73C3E"/>
    <w:rsid w:val="00E75F82"/>
    <w:rsid w:val="00E87AFB"/>
    <w:rsid w:val="00EB7C0D"/>
    <w:rsid w:val="00EE5AC2"/>
    <w:rsid w:val="00EF230E"/>
    <w:rsid w:val="00F4169D"/>
    <w:rsid w:val="00F52ED7"/>
    <w:rsid w:val="00F57586"/>
    <w:rsid w:val="00F80018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329939"/>
  <w15:docId w15:val="{9B66B503-69AF-450A-B2B2-6E12548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2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93F33"/>
    <w:rPr>
      <w:rFonts w:ascii="Arial" w:hAnsi="Arial" w:cs="Arial" w:hint="default"/>
      <w:strike w:val="0"/>
      <w:dstrike w:val="0"/>
      <w:color w:val="0033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293F33"/>
    <w:pPr>
      <w:spacing w:after="100" w:afterAutospacing="1" w:line="312" w:lineRule="auto"/>
    </w:pPr>
    <w:rPr>
      <w:rFonts w:ascii="Arial" w:eastAsia="Times New Roman" w:hAnsi="Arial" w:cs="Arial"/>
      <w:color w:val="000000"/>
      <w:sz w:val="23"/>
      <w:szCs w:val="23"/>
      <w:lang w:eastAsia="en-AU"/>
    </w:rPr>
  </w:style>
  <w:style w:type="character" w:customStyle="1" w:styleId="googqs-tidbit">
    <w:name w:val="goog_qs-tidbit"/>
    <w:basedOn w:val="DefaultParagraphFont"/>
    <w:rsid w:val="00B679A8"/>
  </w:style>
  <w:style w:type="table" w:styleId="TableGrid">
    <w:name w:val="Table Grid"/>
    <w:basedOn w:val="TableNormal"/>
    <w:rsid w:val="003F51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9A60-9E23-48EB-AE73-6F902925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cp:lastPrinted>2020-08-20T01:55:00Z</cp:lastPrinted>
  <dcterms:created xsi:type="dcterms:W3CDTF">2025-11-19T22:33:00Z</dcterms:created>
  <dcterms:modified xsi:type="dcterms:W3CDTF">2025-11-19T22:33:00Z</dcterms:modified>
</cp:coreProperties>
</file>