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7347" w14:textId="4420357C" w:rsidR="00007E8C" w:rsidRPr="00DB41B8" w:rsidRDefault="00FC4A0D" w:rsidP="005576C4">
      <w:pPr>
        <w:spacing w:line="240" w:lineRule="auto"/>
        <w:jc w:val="center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 w:rsidRPr="00DB41B8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Healthy workplace</w:t>
      </w:r>
      <w:r w:rsidR="005D78C4" w:rsidRPr="00DB41B8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</w:t>
      </w:r>
      <w:r w:rsidR="004F3F92" w:rsidRPr="00DB41B8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program </w:t>
      </w:r>
      <w:r w:rsidR="009160B6" w:rsidRPr="00DB41B8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procedure</w:t>
      </w:r>
    </w:p>
    <w:p w14:paraId="65F280D3" w14:textId="77777777" w:rsidR="00007E8C" w:rsidRPr="00DB41B8" w:rsidRDefault="00007E8C" w:rsidP="00C93949">
      <w:pPr>
        <w:spacing w:before="60" w:after="6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1F849131" w14:textId="454F8032" w:rsidR="001F37CC" w:rsidRPr="00DB41B8" w:rsidRDefault="002A2C26" w:rsidP="00C93949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  <w:lang w:eastAsia="en-AU"/>
        </w:rPr>
        <w:t xml:space="preserve">The purpose of this procedure is to </w:t>
      </w:r>
      <w:r w:rsidR="001F37CC" w:rsidRPr="00DB41B8">
        <w:rPr>
          <w:rFonts w:asciiTheme="minorHAnsi" w:hAnsiTheme="minorHAnsi" w:cstheme="minorHAnsi"/>
          <w:sz w:val="20"/>
          <w:szCs w:val="20"/>
          <w:lang w:eastAsia="en-AU"/>
        </w:rPr>
        <w:t xml:space="preserve">make it the step by step approach to implement and manage </w:t>
      </w:r>
      <w:r w:rsidR="001F37CC" w:rsidRPr="00DB41B8">
        <w:rPr>
          <w:rFonts w:asciiTheme="minorHAnsi" w:hAnsiTheme="minorHAnsi" w:cstheme="minorHAnsi"/>
          <w:b/>
          <w:sz w:val="20"/>
          <w:szCs w:val="20"/>
        </w:rPr>
        <w:t xml:space="preserve">${legalname} </w:t>
      </w:r>
      <w:r w:rsidR="001F37CC" w:rsidRPr="00DB41B8">
        <w:rPr>
          <w:rFonts w:asciiTheme="minorHAnsi" w:hAnsiTheme="minorHAnsi" w:cstheme="minorHAnsi"/>
          <w:sz w:val="20"/>
          <w:szCs w:val="20"/>
          <w:lang w:eastAsia="en-AU"/>
        </w:rPr>
        <w:t xml:space="preserve">health and wellbeing program. </w:t>
      </w:r>
      <w:r w:rsidR="001F37CC" w:rsidRPr="00DB41B8">
        <w:rPr>
          <w:rFonts w:asciiTheme="minorHAnsi" w:hAnsiTheme="minorHAnsi" w:cstheme="minorHAnsi"/>
          <w:b/>
          <w:sz w:val="20"/>
          <w:szCs w:val="20"/>
        </w:rPr>
        <w:t xml:space="preserve">${legalname} </w:t>
      </w:r>
      <w:r w:rsidR="001F37CC" w:rsidRPr="00DB41B8">
        <w:rPr>
          <w:rFonts w:asciiTheme="minorHAnsi" w:hAnsiTheme="minorHAnsi" w:cstheme="minorHAnsi"/>
          <w:sz w:val="20"/>
          <w:szCs w:val="20"/>
        </w:rPr>
        <w:t xml:space="preserve">will ensure that work practices, the work environment and workplace culture will value, enhance and protect the health and wellbeing of all employees. </w:t>
      </w:r>
      <w:r w:rsidR="004F3F92" w:rsidRPr="00DB41B8">
        <w:rPr>
          <w:rFonts w:asciiTheme="minorHAnsi" w:hAnsiTheme="minorHAnsi" w:cstheme="minorHAnsi"/>
          <w:sz w:val="20"/>
          <w:szCs w:val="20"/>
        </w:rPr>
        <w:t xml:space="preserve">The procedure aims to </w:t>
      </w:r>
      <w:r w:rsidR="001F37CC" w:rsidRPr="00DB41B8">
        <w:rPr>
          <w:rFonts w:asciiTheme="minorHAnsi" w:hAnsiTheme="minorHAnsi" w:cstheme="minorHAnsi"/>
          <w:sz w:val="20"/>
          <w:szCs w:val="20"/>
        </w:rPr>
        <w:t xml:space="preserve">encourage </w:t>
      </w:r>
      <w:r w:rsidR="004F3F92" w:rsidRPr="00DB41B8">
        <w:rPr>
          <w:rFonts w:asciiTheme="minorHAnsi" w:hAnsiTheme="minorHAnsi" w:cstheme="minorHAnsi"/>
          <w:sz w:val="20"/>
          <w:szCs w:val="20"/>
        </w:rPr>
        <w:t xml:space="preserve">building a healthy workplace and </w:t>
      </w:r>
      <w:r w:rsidR="001F37CC" w:rsidRPr="00DB41B8">
        <w:rPr>
          <w:rFonts w:asciiTheme="minorHAnsi" w:hAnsiTheme="minorHAnsi" w:cstheme="minorHAnsi"/>
          <w:sz w:val="20"/>
          <w:szCs w:val="20"/>
        </w:rPr>
        <w:t xml:space="preserve">to </w:t>
      </w:r>
      <w:r w:rsidR="004F3F92" w:rsidRPr="00DB41B8">
        <w:rPr>
          <w:rFonts w:asciiTheme="minorHAnsi" w:hAnsiTheme="minorHAnsi" w:cstheme="minorHAnsi"/>
          <w:sz w:val="20"/>
          <w:szCs w:val="20"/>
        </w:rPr>
        <w:t xml:space="preserve">encourage staff to </w:t>
      </w:r>
      <w:r w:rsidR="001F37CC" w:rsidRPr="00DB41B8">
        <w:rPr>
          <w:rFonts w:asciiTheme="minorHAnsi" w:hAnsiTheme="minorHAnsi" w:cstheme="minorHAnsi"/>
          <w:sz w:val="20"/>
          <w:szCs w:val="20"/>
        </w:rPr>
        <w:t xml:space="preserve">take responsibility for their own health and wellbeing. </w:t>
      </w:r>
      <w:r w:rsidR="00880262" w:rsidRPr="00DB41B8">
        <w:rPr>
          <w:rFonts w:asciiTheme="minorHAnsi" w:hAnsiTheme="minorHAnsi" w:cstheme="minorHAnsi"/>
          <w:sz w:val="20"/>
          <w:szCs w:val="20"/>
        </w:rPr>
        <w:t>Well designed and managed workplaces can play a beneficial role in promoting worker health and wellbeing, minimising ill health and facilitating a faster recovery and return to work after injury or illness.</w:t>
      </w:r>
    </w:p>
    <w:p w14:paraId="0CA57007" w14:textId="77777777" w:rsidR="009816F4" w:rsidRPr="00DB41B8" w:rsidRDefault="00007E8C" w:rsidP="00C93949">
      <w:pPr>
        <w:spacing w:before="60" w:after="6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1AED83D2" w14:textId="3C03C8E7" w:rsidR="00CB2201" w:rsidRPr="00DB41B8" w:rsidRDefault="001F37CC" w:rsidP="00C9394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B41B8">
        <w:rPr>
          <w:rFonts w:asciiTheme="minorHAnsi" w:hAnsiTheme="minorHAnsi" w:cstheme="minorHAnsi"/>
          <w:bCs/>
          <w:sz w:val="20"/>
          <w:szCs w:val="20"/>
        </w:rPr>
        <w:t xml:space="preserve">This procedure relates to all locations owned and operated by </w:t>
      </w:r>
      <w:r w:rsidR="005E1AE1" w:rsidRPr="00DB41B8">
        <w:rPr>
          <w:rFonts w:asciiTheme="minorHAnsi" w:hAnsiTheme="minorHAnsi" w:cstheme="minorHAnsi"/>
          <w:b/>
          <w:sz w:val="20"/>
          <w:szCs w:val="20"/>
        </w:rPr>
        <w:t>${legalname}</w:t>
      </w:r>
      <w:r w:rsidRPr="00DB41B8">
        <w:rPr>
          <w:rFonts w:asciiTheme="minorHAnsi" w:hAnsiTheme="minorHAnsi" w:cstheme="minorHAnsi"/>
          <w:bCs/>
          <w:sz w:val="20"/>
          <w:szCs w:val="20"/>
        </w:rPr>
        <w:t>.</w:t>
      </w:r>
    </w:p>
    <w:p w14:paraId="038FA5DB" w14:textId="77777777" w:rsidR="005E1AE1" w:rsidRPr="00DB41B8" w:rsidRDefault="005E1AE1" w:rsidP="00C93949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Rationale</w:t>
      </w:r>
    </w:p>
    <w:p w14:paraId="38DA86E5" w14:textId="77777777" w:rsidR="005E1AE1" w:rsidRPr="00DB41B8" w:rsidRDefault="005E1AE1" w:rsidP="00C93949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The health of workers can benefit from workplace supported health and wellbeing initiatives.</w:t>
      </w:r>
    </w:p>
    <w:p w14:paraId="3275CBD8" w14:textId="77777777" w:rsidR="005E1AE1" w:rsidRPr="00DB41B8" w:rsidRDefault="005E1AE1" w:rsidP="00C93949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Increased education and access to health information can improve health outcomes for individuals, particularly when the workplace environment, culture and practices provide a support base to make healthy choices. </w:t>
      </w:r>
    </w:p>
    <w:p w14:paraId="6C19F056" w14:textId="77777777" w:rsidR="005E1AE1" w:rsidRPr="00DB41B8" w:rsidRDefault="005E1AE1" w:rsidP="00C93949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Well planned workplace initiatives that are tailored to the needs of the workplace; and aren’t necessarily expensive or resource intensive can:</w:t>
      </w:r>
    </w:p>
    <w:p w14:paraId="3A260F66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Improve morale and job satisfaction</w:t>
      </w:r>
    </w:p>
    <w:p w14:paraId="61299525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Engage a workforce that is committed to their organisation </w:t>
      </w:r>
    </w:p>
    <w:p w14:paraId="134B8529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Reduce absenteeism and increase productivity</w:t>
      </w:r>
    </w:p>
    <w:p w14:paraId="53402BC4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Reduce injury and accelerate return to work</w:t>
      </w:r>
    </w:p>
    <w:p w14:paraId="5FDBEF0B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Enhance recruitment and retention </w:t>
      </w:r>
    </w:p>
    <w:p w14:paraId="24E6BFC5" w14:textId="55168D50" w:rsidR="00007E8C" w:rsidRPr="00DB41B8" w:rsidRDefault="00C47DD2" w:rsidP="00C93949">
      <w:pPr>
        <w:spacing w:before="240" w:after="6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</w:t>
      </w:r>
      <w:r w:rsidR="00007E8C"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efinitions</w:t>
      </w:r>
    </w:p>
    <w:p w14:paraId="173C17A7" w14:textId="77777777" w:rsidR="005E1AE1" w:rsidRPr="00DB41B8" w:rsidRDefault="005E1AE1" w:rsidP="00C93949">
      <w:p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DB41B8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Health:</w:t>
      </w: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health means physical and psychological health (SA Work Health and Safety Act 2012)</w:t>
      </w:r>
    </w:p>
    <w:p w14:paraId="56D68F3D" w14:textId="5C689073" w:rsidR="005E1AE1" w:rsidRPr="00DB41B8" w:rsidRDefault="005E1AE1" w:rsidP="00C93949">
      <w:pPr>
        <w:pStyle w:val="NormalWeb"/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b/>
          <w:color w:val="000000"/>
          <w:sz w:val="20"/>
          <w:szCs w:val="20"/>
          <w:lang w:val="en-AU"/>
        </w:rPr>
        <w:t>Healthy workplace:</w:t>
      </w: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 xml:space="preserve"> one where employees and managers collaborate to protect the safety, health, and wellbeing of all employees in the workplace through:</w:t>
      </w:r>
    </w:p>
    <w:p w14:paraId="0042096E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Promoting health and safety in the physical work environment</w:t>
      </w:r>
    </w:p>
    <w:p w14:paraId="00707484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Promoting wellbeing in the psychosocial work environment</w:t>
      </w:r>
    </w:p>
    <w:p w14:paraId="75329E3B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Providing personal health resources</w:t>
      </w:r>
    </w:p>
    <w:p w14:paraId="31ED2114" w14:textId="77777777" w:rsidR="005E1AE1" w:rsidRPr="00DB41B8" w:rsidRDefault="005E1AE1" w:rsidP="00C93949">
      <w:pPr>
        <w:pStyle w:val="NormalWeb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  <w:lang w:val="en-AU"/>
        </w:rPr>
        <w:t>Engagement in the community to improve the health of workers, their families and other members of the</w:t>
      </w:r>
      <w:r w:rsidRPr="00DB41B8">
        <w:rPr>
          <w:rFonts w:asciiTheme="minorHAnsi" w:hAnsiTheme="minorHAnsi" w:cstheme="minorHAnsi"/>
          <w:color w:val="000000"/>
          <w:sz w:val="20"/>
          <w:szCs w:val="20"/>
        </w:rPr>
        <w:t xml:space="preserve"> community</w:t>
      </w:r>
    </w:p>
    <w:p w14:paraId="711ABAD4" w14:textId="77777777" w:rsidR="005E1AE1" w:rsidRPr="00DB41B8" w:rsidRDefault="005E1AE1" w:rsidP="00C93949">
      <w:p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</w:rPr>
        <w:t>(WHO Healthy Workplace Framework and Model 2010)</w:t>
      </w:r>
    </w:p>
    <w:p w14:paraId="297E4A8F" w14:textId="77777777" w:rsidR="005E1AE1" w:rsidRPr="00DB41B8" w:rsidRDefault="005E1AE1" w:rsidP="00C93949">
      <w:pPr>
        <w:tabs>
          <w:tab w:val="left" w:pos="-1440"/>
          <w:tab w:val="left" w:pos="-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Mental Wellbeing:</w:t>
      </w:r>
      <w:r w:rsidRPr="00DB41B8">
        <w:rPr>
          <w:rFonts w:asciiTheme="minorHAnsi" w:hAnsiTheme="minorHAnsi" w:cstheme="minorHAnsi"/>
          <w:sz w:val="20"/>
          <w:szCs w:val="20"/>
        </w:rPr>
        <w:t xml:space="preserve"> Mental wellbeing is described by the </w:t>
      </w:r>
      <w:hyperlink r:id="rId11" w:tgtFrame="_blank" w:history="1">
        <w:r w:rsidRPr="00DB41B8">
          <w:rPr>
            <w:rFonts w:asciiTheme="minorHAnsi" w:hAnsiTheme="minorHAnsi" w:cstheme="minorHAnsi"/>
            <w:sz w:val="20"/>
            <w:szCs w:val="20"/>
          </w:rPr>
          <w:t>World Health Organisation (WHO)</w:t>
        </w:r>
      </w:hyperlink>
      <w:r w:rsidRPr="00DB41B8">
        <w:rPr>
          <w:rFonts w:asciiTheme="minorHAnsi" w:hAnsiTheme="minorHAnsi" w:cstheme="minorHAnsi"/>
          <w:sz w:val="20"/>
          <w:szCs w:val="20"/>
        </w:rPr>
        <w:t> as “the state in which the individual realises his or her own abilities, can cope with normal </w:t>
      </w:r>
      <w:hyperlink r:id="rId12" w:history="1">
        <w:r w:rsidRPr="00DB41B8">
          <w:rPr>
            <w:rFonts w:asciiTheme="minorHAnsi" w:hAnsiTheme="minorHAnsi" w:cstheme="minorHAnsi"/>
            <w:sz w:val="20"/>
            <w:szCs w:val="20"/>
          </w:rPr>
          <w:t>stresses</w:t>
        </w:r>
      </w:hyperlink>
      <w:r w:rsidRPr="00DB41B8">
        <w:rPr>
          <w:rFonts w:asciiTheme="minorHAnsi" w:hAnsiTheme="minorHAnsi" w:cstheme="minorHAnsi"/>
          <w:sz w:val="20"/>
          <w:szCs w:val="20"/>
        </w:rPr>
        <w:t xml:space="preserve"> of life, can work productively, and is able to make a contribution to his or her community.” </w:t>
      </w:r>
    </w:p>
    <w:p w14:paraId="0EBD3811" w14:textId="77777777" w:rsidR="005E1AE1" w:rsidRPr="00DB41B8" w:rsidRDefault="005E1AE1" w:rsidP="00C939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Wellbeing</w:t>
      </w:r>
      <w:r w:rsidRPr="00DB41B8">
        <w:rPr>
          <w:rFonts w:asciiTheme="minorHAnsi" w:hAnsiTheme="minorHAnsi" w:cstheme="minorHAnsi"/>
          <w:sz w:val="20"/>
          <w:szCs w:val="20"/>
        </w:rPr>
        <w:t xml:space="preserve">: The state of being comfortable, healthy or happy (Oxford Dictionary) </w:t>
      </w:r>
    </w:p>
    <w:p w14:paraId="74887729" w14:textId="77777777" w:rsidR="004F3F92" w:rsidRPr="00DB41B8" w:rsidRDefault="004F3F92" w:rsidP="00C93949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32504666" w14:textId="77777777" w:rsidR="004F3F92" w:rsidRPr="00DB41B8" w:rsidRDefault="004F3F92" w:rsidP="00C939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  <w:t>Managers/Supervisors are responsible for:</w:t>
      </w:r>
    </w:p>
    <w:p w14:paraId="75495BAF" w14:textId="41D9A35D" w:rsidR="00690583" w:rsidRPr="00DB41B8" w:rsidRDefault="00690583" w:rsidP="00C9394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Providing a workplace that is safe and healthy </w:t>
      </w:r>
    </w:p>
    <w:p w14:paraId="4CA97D1D" w14:textId="2D4CC5B4" w:rsidR="004F3F92" w:rsidRPr="00DB41B8" w:rsidRDefault="004F3F92" w:rsidP="00C9394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Monitoring the workplace to identify any potential </w:t>
      </w:r>
      <w:r w:rsidR="00690583"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health hazards</w:t>
      </w:r>
    </w:p>
    <w:p w14:paraId="6ED9A574" w14:textId="564A5630" w:rsidR="00690583" w:rsidRPr="00DB41B8" w:rsidRDefault="00B077BA" w:rsidP="00C93949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Consult with workers on </w:t>
      </w:r>
      <w:r w:rsidR="00005832"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creating and maintaining a </w:t>
      </w: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healthy workplace</w:t>
      </w:r>
    </w:p>
    <w:p w14:paraId="728D8A0B" w14:textId="0588D9DC" w:rsidR="004F3F92" w:rsidRPr="00DB41B8" w:rsidRDefault="004F3F92" w:rsidP="00C939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  <w:t xml:space="preserve">Workers are responsible for: </w:t>
      </w:r>
    </w:p>
    <w:p w14:paraId="7DB10EA9" w14:textId="77777777" w:rsidR="00B077BA" w:rsidRPr="00DB41B8" w:rsidRDefault="004F3F92" w:rsidP="00C9394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>Conforming to the requirements of this procedure</w:t>
      </w:r>
    </w:p>
    <w:p w14:paraId="684BA3BF" w14:textId="77777777" w:rsidR="00B077BA" w:rsidRPr="00DB41B8" w:rsidRDefault="004F3F92" w:rsidP="00C9394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report any hazards, injuries or ill health to your supervisor</w:t>
      </w:r>
      <w:r w:rsidR="00880262"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 xml:space="preserve"> or employer</w:t>
      </w:r>
    </w:p>
    <w:p w14:paraId="67F6A345" w14:textId="77777777" w:rsidR="00B077BA" w:rsidRPr="00DB41B8" w:rsidRDefault="004F3F92" w:rsidP="00C9394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cooperate with your employer when they require something to be done health at the workplace.</w:t>
      </w:r>
    </w:p>
    <w:p w14:paraId="7535DBE7" w14:textId="261AA9F3" w:rsidR="00880262" w:rsidRPr="00DB41B8" w:rsidRDefault="00880262" w:rsidP="00C9394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AU"/>
        </w:rPr>
      </w:pPr>
      <w:r w:rsidRPr="00DB41B8">
        <w:rPr>
          <w:rFonts w:asciiTheme="minorHAnsi" w:eastAsia="Times New Roman" w:hAnsiTheme="minorHAnsi" w:cstheme="minorHAnsi"/>
          <w:color w:val="000000"/>
          <w:sz w:val="20"/>
          <w:szCs w:val="20"/>
          <w:lang w:eastAsia="en-AU"/>
        </w:rPr>
        <w:t>You must take care of yourself and others and cooperate with your employer in matters of health and safety.</w:t>
      </w:r>
    </w:p>
    <w:p w14:paraId="01ADA094" w14:textId="77777777" w:rsidR="00CB2201" w:rsidRPr="00DB41B8" w:rsidRDefault="00CB2201" w:rsidP="00C93949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en-AU"/>
        </w:rPr>
      </w:pPr>
    </w:p>
    <w:p w14:paraId="7CF605F5" w14:textId="64B64CE8" w:rsidR="00007E8C" w:rsidRPr="00DB41B8" w:rsidRDefault="001268B9" w:rsidP="00C93949">
      <w:pPr>
        <w:spacing w:before="60" w:after="6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lastRenderedPageBreak/>
        <w:t>Procedure</w:t>
      </w:r>
    </w:p>
    <w:p w14:paraId="40B1497B" w14:textId="46416765" w:rsidR="00F7724A" w:rsidRPr="00DB41B8" w:rsidRDefault="00F7724A" w:rsidP="00C93949">
      <w:pPr>
        <w:spacing w:before="60" w:after="6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>This procedure is based on the Healthy Workers Healthy Futures Initiative – A workplace health and wellbeing toolkit; Step by step guide to developing a successful workplace program</w:t>
      </w:r>
      <w:r w:rsidR="005576C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F3A959B" w14:textId="77777777" w:rsidR="00F7724A" w:rsidRPr="00DB41B8" w:rsidRDefault="00F7724A" w:rsidP="00C93949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54F910E" w14:textId="45FE1363" w:rsidR="0073463F" w:rsidRPr="00DB41B8" w:rsidRDefault="00880262" w:rsidP="00C93949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Step One – Get started </w:t>
      </w:r>
    </w:p>
    <w:p w14:paraId="16714100" w14:textId="28DB37A4" w:rsidR="0073463F" w:rsidRPr="00DB41B8" w:rsidRDefault="0086420C" w:rsidP="00C93949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 xml:space="preserve">At the commencement </w:t>
      </w:r>
      <w:r w:rsidR="00880262" w:rsidRPr="00DB41B8">
        <w:rPr>
          <w:rFonts w:asciiTheme="minorHAnsi" w:hAnsiTheme="minorHAnsi" w:cstheme="minorHAnsi"/>
          <w:color w:val="000000"/>
          <w:sz w:val="20"/>
          <w:szCs w:val="20"/>
        </w:rPr>
        <w:t>of a health and wellbeing prog</w:t>
      </w:r>
      <w:r w:rsidR="00A70D1A" w:rsidRPr="00DB41B8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880262" w:rsidRPr="00DB41B8">
        <w:rPr>
          <w:rFonts w:asciiTheme="minorHAnsi" w:hAnsiTheme="minorHAnsi" w:cstheme="minorHAnsi"/>
          <w:color w:val="000000"/>
          <w:sz w:val="20"/>
          <w:szCs w:val="20"/>
        </w:rPr>
        <w:t xml:space="preserve">am </w:t>
      </w:r>
      <w:r w:rsidR="00A70D1A" w:rsidRPr="00DB41B8">
        <w:rPr>
          <w:rFonts w:asciiTheme="minorHAnsi" w:hAnsiTheme="minorHAnsi" w:cstheme="minorHAnsi"/>
          <w:color w:val="000000"/>
          <w:sz w:val="20"/>
          <w:szCs w:val="20"/>
        </w:rPr>
        <w:t>it is important to create solid foundations by gaining management commitment and engaging employees.</w:t>
      </w:r>
    </w:p>
    <w:p w14:paraId="56170769" w14:textId="2DDF2CCC" w:rsidR="00A70D1A" w:rsidRPr="00DB41B8" w:rsidRDefault="00A70D1A" w:rsidP="00C9394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>Propose a business case</w:t>
      </w:r>
    </w:p>
    <w:p w14:paraId="65C65FA1" w14:textId="38FE57E5" w:rsidR="00A70D1A" w:rsidRPr="00DB41B8" w:rsidRDefault="00A70D1A" w:rsidP="00C9394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 xml:space="preserve">Create a health and wellbeing policy </w:t>
      </w:r>
    </w:p>
    <w:p w14:paraId="107EB5D9" w14:textId="7EEF37D7" w:rsidR="00A70D1A" w:rsidRPr="00DB41B8" w:rsidRDefault="00A70D1A" w:rsidP="00C9394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color w:val="000000"/>
          <w:sz w:val="20"/>
          <w:szCs w:val="20"/>
        </w:rPr>
        <w:t xml:space="preserve">Engage employees via a committee or volunteer champions </w:t>
      </w:r>
    </w:p>
    <w:p w14:paraId="5DDE615B" w14:textId="4CE38D04" w:rsidR="004C411C" w:rsidRPr="00DB41B8" w:rsidRDefault="00A70D1A" w:rsidP="00C93949">
      <w:pPr>
        <w:pStyle w:val="Default"/>
        <w:spacing w:before="60" w:after="60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(templates and resources available a </w:t>
      </w:r>
      <w:hyperlink r:id="rId13" w:history="1">
        <w:r w:rsidRPr="00DB41B8">
          <w:rPr>
            <w:rStyle w:val="Hyperlink"/>
            <w:rFonts w:asciiTheme="minorHAnsi" w:hAnsiTheme="minorHAnsi" w:cstheme="minorHAnsi"/>
            <w:sz w:val="20"/>
            <w:szCs w:val="20"/>
          </w:rPr>
          <w:t>www.sahealth.sa.gov.au/healhtyworkers</w:t>
        </w:r>
      </w:hyperlink>
      <w:r w:rsidRPr="00DB41B8">
        <w:rPr>
          <w:rFonts w:asciiTheme="minorHAnsi" w:hAnsiTheme="minorHAnsi" w:cstheme="minorHAnsi"/>
          <w:sz w:val="20"/>
          <w:szCs w:val="20"/>
        </w:rPr>
        <w:t>)</w:t>
      </w:r>
    </w:p>
    <w:p w14:paraId="3BCC01EB" w14:textId="408FACDE" w:rsidR="00A70D1A" w:rsidRPr="00DB41B8" w:rsidRDefault="00A70D1A" w:rsidP="00C93949">
      <w:pPr>
        <w:pStyle w:val="Default"/>
        <w:spacing w:before="60" w:after="60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2E79F6E" w14:textId="26E663CD" w:rsidR="00A70D1A" w:rsidRPr="00DB41B8" w:rsidRDefault="00A70D1A" w:rsidP="00C93949">
      <w:p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B41B8">
        <w:rPr>
          <w:rFonts w:asciiTheme="minorHAnsi" w:hAnsiTheme="minorHAnsi" w:cstheme="minorHAnsi"/>
          <w:b/>
          <w:color w:val="000000"/>
          <w:sz w:val="20"/>
          <w:szCs w:val="20"/>
        </w:rPr>
        <w:t>Step Two – Needs assessment</w:t>
      </w:r>
    </w:p>
    <w:p w14:paraId="02067D56" w14:textId="5EBFA6C2" w:rsidR="00F7724A" w:rsidRPr="00DB41B8" w:rsidRDefault="00A70D1A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A needs assessment is a process of determining </w:t>
      </w:r>
      <w:r w:rsidR="00DB41B8" w:rsidRPr="00DB41B8">
        <w:rPr>
          <w:rFonts w:asciiTheme="minorHAnsi" w:hAnsiTheme="minorHAnsi" w:cstheme="minorHAnsi"/>
          <w:sz w:val="20"/>
          <w:szCs w:val="20"/>
        </w:rPr>
        <w:t>needs and</w:t>
      </w:r>
      <w:r w:rsidRPr="00DB41B8">
        <w:rPr>
          <w:rFonts w:asciiTheme="minorHAnsi" w:hAnsiTheme="minorHAnsi" w:cstheme="minorHAnsi"/>
          <w:sz w:val="20"/>
          <w:szCs w:val="20"/>
        </w:rPr>
        <w:t xml:space="preserve"> </w:t>
      </w:r>
      <w:r w:rsidR="00F7724A" w:rsidRPr="00DB41B8">
        <w:rPr>
          <w:rFonts w:asciiTheme="minorHAnsi" w:hAnsiTheme="minorHAnsi" w:cstheme="minorHAnsi"/>
          <w:sz w:val="20"/>
          <w:szCs w:val="20"/>
        </w:rPr>
        <w:t>identifying gaps b</w:t>
      </w:r>
      <w:r w:rsidRPr="00DB41B8">
        <w:rPr>
          <w:rFonts w:asciiTheme="minorHAnsi" w:hAnsiTheme="minorHAnsi" w:cstheme="minorHAnsi"/>
          <w:sz w:val="20"/>
          <w:szCs w:val="20"/>
        </w:rPr>
        <w:t>e</w:t>
      </w:r>
      <w:r w:rsidR="00F7724A" w:rsidRPr="00DB41B8">
        <w:rPr>
          <w:rFonts w:asciiTheme="minorHAnsi" w:hAnsiTheme="minorHAnsi" w:cstheme="minorHAnsi"/>
          <w:sz w:val="20"/>
          <w:szCs w:val="20"/>
        </w:rPr>
        <w:t>twee</w:t>
      </w:r>
      <w:r w:rsidRPr="00DB41B8">
        <w:rPr>
          <w:rFonts w:asciiTheme="minorHAnsi" w:hAnsiTheme="minorHAnsi" w:cstheme="minorHAnsi"/>
          <w:sz w:val="20"/>
          <w:szCs w:val="20"/>
        </w:rPr>
        <w:t xml:space="preserve">n current conditions and </w:t>
      </w:r>
      <w:r w:rsidR="00F7724A" w:rsidRPr="00DB41B8">
        <w:rPr>
          <w:rFonts w:asciiTheme="minorHAnsi" w:hAnsiTheme="minorHAnsi" w:cstheme="minorHAnsi"/>
          <w:sz w:val="20"/>
          <w:szCs w:val="20"/>
        </w:rPr>
        <w:t>desired outcomes. It is essential</w:t>
      </w:r>
      <w:r w:rsidRPr="00DB41B8">
        <w:rPr>
          <w:rFonts w:asciiTheme="minorHAnsi" w:hAnsiTheme="minorHAnsi" w:cstheme="minorHAnsi"/>
          <w:sz w:val="20"/>
          <w:szCs w:val="20"/>
        </w:rPr>
        <w:t xml:space="preserve"> to consider the needs and interests of your workplace be</w:t>
      </w:r>
      <w:r w:rsidR="00F7724A" w:rsidRPr="00DB41B8">
        <w:rPr>
          <w:rFonts w:asciiTheme="minorHAnsi" w:hAnsiTheme="minorHAnsi" w:cstheme="minorHAnsi"/>
          <w:sz w:val="20"/>
          <w:szCs w:val="20"/>
        </w:rPr>
        <w:t xml:space="preserve">fore putting actions into place. </w:t>
      </w:r>
    </w:p>
    <w:p w14:paraId="019798DA" w14:textId="32C50338" w:rsidR="00F7724A" w:rsidRPr="00DB41B8" w:rsidRDefault="00F7724A" w:rsidP="00C93949">
      <w:pPr>
        <w:pStyle w:val="Default"/>
        <w:numPr>
          <w:ilvl w:val="0"/>
          <w:numId w:val="24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Assess the needs of your biggest asset – your people by discussion at staff meeting, a survey, toolbox talk, gathering the committee.</w:t>
      </w:r>
    </w:p>
    <w:p w14:paraId="7459F658" w14:textId="5D799B79" w:rsidR="00F7724A" w:rsidRPr="00DB41B8" w:rsidRDefault="00F7724A" w:rsidP="00C93949">
      <w:pPr>
        <w:pStyle w:val="Default"/>
        <w:numPr>
          <w:ilvl w:val="0"/>
          <w:numId w:val="24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Assess the workplace environment – by completing a healthy workplace audit to consider infrastructure, equipment and spaces. The environment includes the worksite, but local area and transport links. </w:t>
      </w:r>
    </w:p>
    <w:p w14:paraId="0C75CE9A" w14:textId="170CAD2A" w:rsidR="00F7724A" w:rsidRPr="00DB41B8" w:rsidRDefault="00F7724A" w:rsidP="00C93949">
      <w:pPr>
        <w:pStyle w:val="Default"/>
        <w:numPr>
          <w:ilvl w:val="0"/>
          <w:numId w:val="24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Assess the vision and culture – review how well your business aligns with health and wellbeing, review the policies that support the workplace by suing the healthy workplace audit.</w:t>
      </w:r>
    </w:p>
    <w:p w14:paraId="5C5BEE23" w14:textId="0FD0F60C" w:rsidR="00F7724A" w:rsidRPr="00DB41B8" w:rsidRDefault="00072A32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(templates and resources available a</w:t>
      </w:r>
      <w:r w:rsidR="00CA2B39" w:rsidRPr="00DB41B8">
        <w:rPr>
          <w:rFonts w:asciiTheme="minorHAnsi" w:hAnsiTheme="minorHAnsi" w:cstheme="minorHAnsi"/>
          <w:sz w:val="20"/>
          <w:szCs w:val="20"/>
        </w:rPr>
        <w:t>t</w:t>
      </w:r>
      <w:r w:rsidRPr="00DB41B8">
        <w:rPr>
          <w:rFonts w:asciiTheme="minorHAnsi" w:hAnsiTheme="minorHAnsi" w:cstheme="minorHAnsi"/>
          <w:sz w:val="20"/>
          <w:szCs w:val="20"/>
        </w:rPr>
        <w:t xml:space="preserve"> www.sahealth.sa.gov.au/healhtyworkers)</w:t>
      </w:r>
    </w:p>
    <w:p w14:paraId="374A2C44" w14:textId="4939EDD5" w:rsidR="00A70D1A" w:rsidRPr="00DB41B8" w:rsidRDefault="00A70D1A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4E65D9F2" w14:textId="4B665585" w:rsidR="00072A32" w:rsidRPr="00DB41B8" w:rsidRDefault="00072A32" w:rsidP="00C93949">
      <w:pPr>
        <w:pStyle w:val="Default"/>
        <w:spacing w:before="60"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Step Three – Action</w:t>
      </w:r>
    </w:p>
    <w:p w14:paraId="2FEBB778" w14:textId="0E92A2DD" w:rsidR="00DF6016" w:rsidRPr="00DB41B8" w:rsidRDefault="00DF6016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It is useful, and more efficient to have a planned approach to your program. An action plan should be written which includes:</w:t>
      </w:r>
    </w:p>
    <w:p w14:paraId="098058FC" w14:textId="6BBAC9E3" w:rsidR="00005832" w:rsidRPr="00DB41B8" w:rsidRDefault="00005832" w:rsidP="00C93949">
      <w:pPr>
        <w:pStyle w:val="Default"/>
        <w:numPr>
          <w:ilvl w:val="0"/>
          <w:numId w:val="26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Identify key priorities </w:t>
      </w:r>
    </w:p>
    <w:p w14:paraId="77DFF31C" w14:textId="1F9504E7" w:rsidR="00005832" w:rsidRPr="00DB41B8" w:rsidRDefault="00005832" w:rsidP="00C93949">
      <w:pPr>
        <w:pStyle w:val="Default"/>
        <w:numPr>
          <w:ilvl w:val="0"/>
          <w:numId w:val="26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Identify </w:t>
      </w:r>
      <w:r w:rsidR="001F3C10" w:rsidRPr="00DB41B8">
        <w:rPr>
          <w:rFonts w:asciiTheme="minorHAnsi" w:hAnsiTheme="minorHAnsi" w:cstheme="minorHAnsi"/>
          <w:sz w:val="20"/>
          <w:szCs w:val="20"/>
        </w:rPr>
        <w:t>strategies</w:t>
      </w:r>
      <w:r w:rsidRPr="00DB41B8">
        <w:rPr>
          <w:rFonts w:asciiTheme="minorHAnsi" w:hAnsiTheme="minorHAnsi" w:cstheme="minorHAnsi"/>
          <w:sz w:val="20"/>
          <w:szCs w:val="20"/>
        </w:rPr>
        <w:t xml:space="preserve"> for use. (suggestions in the ‘workplace health and wellbeing toolkit’</w:t>
      </w:r>
    </w:p>
    <w:p w14:paraId="0B700D4B" w14:textId="4419D03B" w:rsidR="00DF6016" w:rsidRPr="00DB41B8" w:rsidRDefault="00005832" w:rsidP="00C93949">
      <w:pPr>
        <w:pStyle w:val="Default"/>
        <w:numPr>
          <w:ilvl w:val="0"/>
          <w:numId w:val="26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Set SMART criteria</w:t>
      </w:r>
    </w:p>
    <w:p w14:paraId="28F0F594" w14:textId="123AE336" w:rsidR="00005832" w:rsidRPr="00DB41B8" w:rsidRDefault="001F3C10" w:rsidP="00C93949">
      <w:pPr>
        <w:pStyle w:val="Default"/>
        <w:numPr>
          <w:ilvl w:val="0"/>
          <w:numId w:val="26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Promote planned activities and events</w:t>
      </w:r>
    </w:p>
    <w:p w14:paraId="782B379A" w14:textId="51799A6E" w:rsidR="001F3C10" w:rsidRPr="00DB41B8" w:rsidRDefault="001F3C10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41264E2B" w14:textId="22116C18" w:rsidR="001F3C10" w:rsidRPr="00DB41B8" w:rsidRDefault="001F3C10" w:rsidP="00C93949">
      <w:pPr>
        <w:pStyle w:val="Default"/>
        <w:spacing w:before="60"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Step Four – Monitor and Review</w:t>
      </w:r>
    </w:p>
    <w:p w14:paraId="116C8C78" w14:textId="723CFABC" w:rsidR="00CA2B39" w:rsidRPr="00DB41B8" w:rsidRDefault="00CA2B39" w:rsidP="00C93949">
      <w:pPr>
        <w:pStyle w:val="Default"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It is important to maintain good records to be able to make reporting to management easier and to keep everyone informed and </w:t>
      </w:r>
      <w:r w:rsidR="00DB41B8" w:rsidRPr="00DB41B8">
        <w:rPr>
          <w:rFonts w:asciiTheme="minorHAnsi" w:hAnsiTheme="minorHAnsi" w:cstheme="minorHAnsi"/>
          <w:sz w:val="20"/>
          <w:szCs w:val="20"/>
        </w:rPr>
        <w:t>up to date</w:t>
      </w:r>
      <w:r w:rsidRPr="00DB41B8">
        <w:rPr>
          <w:rFonts w:asciiTheme="minorHAnsi" w:hAnsiTheme="minorHAnsi" w:cstheme="minorHAnsi"/>
          <w:sz w:val="20"/>
          <w:szCs w:val="20"/>
        </w:rPr>
        <w:t>. To complete this step</w:t>
      </w:r>
    </w:p>
    <w:p w14:paraId="4862D072" w14:textId="4DB9A72D" w:rsidR="00CA2B39" w:rsidRPr="00DB41B8" w:rsidRDefault="00CA2B39" w:rsidP="00C93949">
      <w:pPr>
        <w:pStyle w:val="Default"/>
        <w:numPr>
          <w:ilvl w:val="0"/>
          <w:numId w:val="27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Use the action plan template to identify indicators of success</w:t>
      </w:r>
    </w:p>
    <w:p w14:paraId="664F5731" w14:textId="0F80E5A6" w:rsidR="00CA2B39" w:rsidRPr="00DB41B8" w:rsidRDefault="00CA2B39" w:rsidP="00C93949">
      <w:pPr>
        <w:pStyle w:val="Default"/>
        <w:numPr>
          <w:ilvl w:val="0"/>
          <w:numId w:val="27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Capture numbers and usage of programs/equipment</w:t>
      </w:r>
    </w:p>
    <w:p w14:paraId="5EF6BF75" w14:textId="5320CC6A" w:rsidR="00CA2B39" w:rsidRPr="00DB41B8" w:rsidRDefault="00CA2B39" w:rsidP="00C93949">
      <w:pPr>
        <w:pStyle w:val="Default"/>
        <w:numPr>
          <w:ilvl w:val="0"/>
          <w:numId w:val="27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Get feedback from staff</w:t>
      </w:r>
    </w:p>
    <w:p w14:paraId="2C4EE34A" w14:textId="050946DE" w:rsidR="00CA2B39" w:rsidRPr="00DB41B8" w:rsidRDefault="00CA2B39" w:rsidP="00C93949">
      <w:pPr>
        <w:pStyle w:val="Default"/>
        <w:numPr>
          <w:ilvl w:val="0"/>
          <w:numId w:val="27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Complete pre and post workplace audit tools</w:t>
      </w:r>
    </w:p>
    <w:p w14:paraId="4FF07269" w14:textId="4ABD05B2" w:rsidR="00CA2B39" w:rsidRPr="00DB41B8" w:rsidRDefault="00CA2B39" w:rsidP="00C93949">
      <w:pPr>
        <w:pStyle w:val="Default"/>
        <w:numPr>
          <w:ilvl w:val="0"/>
          <w:numId w:val="27"/>
        </w:numPr>
        <w:spacing w:before="60" w:after="6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Recue policy or culture changes</w:t>
      </w:r>
    </w:p>
    <w:p w14:paraId="509059E6" w14:textId="7867EA45" w:rsidR="00CA2B39" w:rsidRPr="00DB41B8" w:rsidRDefault="00CA2B39" w:rsidP="00C93949">
      <w:pPr>
        <w:pStyle w:val="Default"/>
        <w:spacing w:before="60" w:after="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(templates and resources available at www.sahealth.sa.gov.au/healhtyworkers)</w:t>
      </w:r>
    </w:p>
    <w:p w14:paraId="75032EEF" w14:textId="77777777" w:rsidR="00CA2B39" w:rsidRPr="00DB41B8" w:rsidRDefault="00CA2B39" w:rsidP="00C93949">
      <w:pPr>
        <w:spacing w:after="0" w:line="240" w:lineRule="auto"/>
        <w:jc w:val="both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20D7C5C7" w14:textId="4E4AD1E1" w:rsidR="005E1AE1" w:rsidRPr="00DB41B8" w:rsidRDefault="005E1AE1" w:rsidP="00C93949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10CB2622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WHS Act 2012 (SA) and </w:t>
      </w:r>
    </w:p>
    <w:p w14:paraId="5C829ABA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WHS Regulations 2012 (SA)</w:t>
      </w:r>
    </w:p>
    <w:p w14:paraId="1976AA23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Return to Work Act 2014 (SA) and Return to Work 2015 (SA)</w:t>
      </w:r>
    </w:p>
    <w:p w14:paraId="7869CF03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>Government of South Australia SA Health (2014). A workplace health and wellbeing toolkit: step by step guide to developing a successful workplace program</w:t>
      </w:r>
    </w:p>
    <w:p w14:paraId="0F90ED85" w14:textId="77777777" w:rsidR="002901CC" w:rsidRPr="00DB41B8" w:rsidRDefault="002901CC" w:rsidP="00C93949">
      <w:pPr>
        <w:spacing w:before="60" w:after="6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E7AEFBD" w14:textId="77777777" w:rsidR="00CA2B39" w:rsidRPr="00DB41B8" w:rsidRDefault="00CA2B39" w:rsidP="00C93949">
      <w:pPr>
        <w:spacing w:after="0" w:line="240" w:lineRule="auto"/>
        <w:jc w:val="both"/>
        <w:rPr>
          <w:rFonts w:asciiTheme="minorHAnsi" w:hAnsiTheme="minorHAnsi" w:cstheme="minorHAnsi"/>
          <w:b/>
          <w:color w:val="2E94FF"/>
        </w:rPr>
      </w:pPr>
    </w:p>
    <w:p w14:paraId="70E6F2E0" w14:textId="620B16EA" w:rsidR="005E1AE1" w:rsidRPr="00DB41B8" w:rsidRDefault="005E1AE1" w:rsidP="00C93949">
      <w:pPr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Further support </w:t>
      </w:r>
    </w:p>
    <w:p w14:paraId="67006DF0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Healthy Workers Healthy Futures – SA Health </w:t>
      </w:r>
      <w:hyperlink r:id="rId14" w:history="1">
        <w:r w:rsidRPr="00DB41B8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www.sahealth.sa.gov.au/healthyworkers</w:t>
        </w:r>
      </w:hyperlink>
    </w:p>
    <w:p w14:paraId="1686860D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Healthy Workers – Australian Government </w:t>
      </w:r>
      <w:hyperlink r:id="rId15" w:history="1">
        <w:r w:rsidRPr="00DB41B8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http://www.healthyworkers.gov.au</w:t>
        </w:r>
      </w:hyperlink>
    </w:p>
    <w:p w14:paraId="41D16FD9" w14:textId="77777777" w:rsidR="005E1AE1" w:rsidRPr="00DB41B8" w:rsidRDefault="005E1AE1" w:rsidP="00C9394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41B8">
        <w:rPr>
          <w:rFonts w:asciiTheme="minorHAnsi" w:hAnsiTheme="minorHAnsi" w:cstheme="minorHAnsi"/>
          <w:sz w:val="20"/>
          <w:szCs w:val="20"/>
        </w:rPr>
        <w:t xml:space="preserve">Heads Up Mental Health in the Workplace </w:t>
      </w:r>
      <w:hyperlink r:id="rId16" w:history="1">
        <w:r w:rsidRPr="00DB41B8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https://www.headsup.org.au/</w:t>
        </w:r>
      </w:hyperlink>
    </w:p>
    <w:p w14:paraId="1ABCAA7B" w14:textId="77777777" w:rsidR="005E1AE1" w:rsidRPr="00DB41B8" w:rsidRDefault="005E1AE1" w:rsidP="00C93949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4516C4B" w14:textId="77777777" w:rsidR="005E1AE1" w:rsidRPr="00DB41B8" w:rsidRDefault="005E1AE1" w:rsidP="00C93949">
      <w:pPr>
        <w:jc w:val="both"/>
        <w:rPr>
          <w:rFonts w:asciiTheme="minorHAnsi" w:hAnsiTheme="minorHAnsi" w:cstheme="minorHAnsi"/>
          <w:b/>
          <w:color w:val="2E94FF"/>
          <w:sz w:val="28"/>
          <w:szCs w:val="28"/>
        </w:rPr>
      </w:pPr>
    </w:p>
    <w:p w14:paraId="2C501E0C" w14:textId="29CB38DE" w:rsidR="00CB05C0" w:rsidRPr="00DB41B8" w:rsidRDefault="00CB05C0" w:rsidP="00C93949">
      <w:pPr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DB41B8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189D73B3" w14:textId="77777777" w:rsidR="00CB05C0" w:rsidRPr="00DB41B8" w:rsidRDefault="00CB05C0" w:rsidP="00C9394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6B6C5C7D" w14:textId="0DDF8C9F" w:rsidR="00CB05C0" w:rsidRPr="00DB41B8" w:rsidRDefault="00CB05C0" w:rsidP="00C93949">
      <w:pPr>
        <w:tabs>
          <w:tab w:val="left" w:pos="5103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>Authorised by:</w:t>
      </w:r>
      <w:r w:rsidR="00AA0917" w:rsidRPr="00DB41B8">
        <w:rPr>
          <w:rFonts w:asciiTheme="minorHAnsi" w:hAnsiTheme="minorHAnsi" w:cstheme="minorHAnsi"/>
          <w:sz w:val="20"/>
          <w:szCs w:val="20"/>
        </w:rPr>
        <w:t xml:space="preserve"> ${officer}</w:t>
      </w:r>
      <w:r w:rsidR="00140527" w:rsidRPr="00DB41B8">
        <w:rPr>
          <w:rFonts w:asciiTheme="minorHAnsi" w:hAnsiTheme="minorHAnsi" w:cstheme="minorHAnsi"/>
          <w:b/>
          <w:sz w:val="20"/>
          <w:szCs w:val="20"/>
        </w:rPr>
        <w:tab/>
      </w:r>
      <w:r w:rsidRPr="00DB41B8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="007E5F62" w:rsidRPr="00DB41B8">
        <w:rPr>
          <w:rFonts w:asciiTheme="minorHAnsi" w:hAnsiTheme="minorHAnsi" w:cstheme="minorHAnsi"/>
          <w:sz w:val="20"/>
          <w:szCs w:val="20"/>
        </w:rPr>
        <w:t>$</w:t>
      </w:r>
      <w:r w:rsidR="00F41C9F" w:rsidRPr="00DB41B8">
        <w:rPr>
          <w:rFonts w:asciiTheme="minorHAnsi" w:hAnsiTheme="minorHAnsi" w:cstheme="minorHAnsi"/>
          <w:sz w:val="20"/>
          <w:szCs w:val="20"/>
        </w:rPr>
        <w:t>{role}</w:t>
      </w:r>
    </w:p>
    <w:p w14:paraId="0CCEEF6B" w14:textId="1091CC1D" w:rsidR="001268B9" w:rsidRPr="00DB41B8" w:rsidRDefault="00CB05C0" w:rsidP="00C9394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B41B8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="00AA0917" w:rsidRPr="00DB41B8">
        <w:rPr>
          <w:rFonts w:asciiTheme="minorHAnsi" w:hAnsiTheme="minorHAnsi" w:cstheme="minorHAnsi"/>
          <w:sz w:val="20"/>
          <w:szCs w:val="20"/>
        </w:rPr>
        <w:t>${date}</w:t>
      </w:r>
    </w:p>
    <w:sectPr w:rsidR="001268B9" w:rsidRPr="00DB41B8" w:rsidSect="005576C4">
      <w:headerReference w:type="default" r:id="rId17"/>
      <w:footerReference w:type="default" r:id="rId18"/>
      <w:pgSz w:w="11906" w:h="16838"/>
      <w:pgMar w:top="1440" w:right="1440" w:bottom="1276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3E68" w14:textId="77777777" w:rsidR="00806109" w:rsidRDefault="00806109" w:rsidP="006419CA">
      <w:pPr>
        <w:spacing w:after="0" w:line="240" w:lineRule="auto"/>
      </w:pPr>
      <w:r>
        <w:separator/>
      </w:r>
    </w:p>
  </w:endnote>
  <w:endnote w:type="continuationSeparator" w:id="0">
    <w:p w14:paraId="3001CCA9" w14:textId="77777777" w:rsidR="00806109" w:rsidRDefault="00806109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0FF2" w14:textId="62A10383" w:rsidR="00CD29DF" w:rsidRPr="00DB41B8" w:rsidRDefault="005576C4" w:rsidP="00CD29DF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Healthy Workplace Program Procedure</w:t>
    </w:r>
    <w:r w:rsidR="00AA0917" w:rsidRPr="00DB41B8">
      <w:rPr>
        <w:rFonts w:asciiTheme="minorHAnsi" w:hAnsiTheme="minorHAnsi" w:cstheme="minorHAnsi"/>
        <w:sz w:val="16"/>
        <w:szCs w:val="16"/>
      </w:rPr>
      <w:t xml:space="preserve"> V1.0</w:t>
    </w:r>
    <w:r w:rsidR="007D3A2E" w:rsidRPr="00DB41B8">
      <w:rPr>
        <w:rFonts w:asciiTheme="minorHAnsi" w:hAnsiTheme="minorHAnsi" w:cstheme="minorHAnsi"/>
        <w:sz w:val="16"/>
        <w:szCs w:val="16"/>
      </w:rPr>
      <w:tab/>
    </w:r>
    <w:r w:rsidR="007D3A2E" w:rsidRPr="00DB41B8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7D3A2E" w:rsidRPr="00DB41B8">
      <w:rPr>
        <w:rFonts w:asciiTheme="minorHAnsi" w:hAnsiTheme="minorHAnsi" w:cstheme="minorHAnsi"/>
        <w:b/>
        <w:sz w:val="16"/>
        <w:szCs w:val="16"/>
      </w:rPr>
      <w:t>SMART</w:t>
    </w:r>
    <w:r w:rsidR="007D3A2E" w:rsidRPr="00DB41B8">
      <w:rPr>
        <w:rFonts w:asciiTheme="minorHAnsi" w:hAnsiTheme="minorHAnsi" w:cstheme="minorHAnsi"/>
        <w:sz w:val="16"/>
        <w:szCs w:val="16"/>
      </w:rPr>
      <w:t>kit</w:t>
    </w:r>
  </w:p>
  <w:p w14:paraId="33EFA7FD" w14:textId="74EEED83" w:rsidR="00AA0917" w:rsidRPr="00DB41B8" w:rsidRDefault="00AA0917" w:rsidP="00AA0917">
    <w:pPr>
      <w:pStyle w:val="Footer"/>
      <w:rPr>
        <w:rFonts w:asciiTheme="minorHAnsi" w:hAnsiTheme="minorHAnsi" w:cstheme="minorHAnsi"/>
        <w:sz w:val="16"/>
        <w:szCs w:val="16"/>
      </w:rPr>
    </w:pPr>
    <w:r w:rsidRPr="00DB41B8">
      <w:rPr>
        <w:rFonts w:asciiTheme="minorHAnsi" w:hAnsiTheme="minorHAnsi" w:cstheme="minorHAnsi"/>
        <w:sz w:val="16"/>
        <w:szCs w:val="16"/>
      </w:rPr>
      <w:t>Issue Date ${date}</w:t>
    </w:r>
    <w:r w:rsidRPr="00DB41B8">
      <w:rPr>
        <w:rFonts w:asciiTheme="minorHAnsi" w:hAnsiTheme="minorHAnsi" w:cstheme="minorHAnsi"/>
        <w:sz w:val="16"/>
        <w:szCs w:val="16"/>
      </w:rPr>
      <w:tab/>
    </w:r>
    <w:r w:rsidRPr="00DB41B8">
      <w:rPr>
        <w:rFonts w:asciiTheme="minorHAnsi" w:hAnsiTheme="minorHAnsi" w:cstheme="minorHAnsi"/>
        <w:sz w:val="16"/>
        <w:szCs w:val="16"/>
      </w:rPr>
      <w:tab/>
      <w:t xml:space="preserve">Page </w:t>
    </w:r>
    <w:r w:rsidRPr="00DB41B8">
      <w:rPr>
        <w:rFonts w:asciiTheme="minorHAnsi" w:hAnsiTheme="minorHAnsi" w:cstheme="minorHAnsi"/>
        <w:b/>
        <w:sz w:val="16"/>
        <w:szCs w:val="16"/>
      </w:rPr>
      <w:fldChar w:fldCharType="begin"/>
    </w:r>
    <w:r w:rsidRPr="00DB41B8">
      <w:rPr>
        <w:rFonts w:asciiTheme="minorHAnsi" w:hAnsiTheme="minorHAnsi" w:cstheme="minorHAnsi"/>
        <w:b/>
        <w:sz w:val="16"/>
        <w:szCs w:val="16"/>
      </w:rPr>
      <w:instrText xml:space="preserve"> PAGE </w:instrText>
    </w:r>
    <w:r w:rsidRPr="00DB41B8">
      <w:rPr>
        <w:rFonts w:asciiTheme="minorHAnsi" w:hAnsiTheme="minorHAnsi" w:cstheme="minorHAnsi"/>
        <w:b/>
        <w:sz w:val="16"/>
        <w:szCs w:val="16"/>
      </w:rPr>
      <w:fldChar w:fldCharType="separate"/>
    </w:r>
    <w:r w:rsidR="00E3418D" w:rsidRPr="00DB41B8">
      <w:rPr>
        <w:rFonts w:asciiTheme="minorHAnsi" w:hAnsiTheme="minorHAnsi" w:cstheme="minorHAnsi"/>
        <w:b/>
        <w:noProof/>
        <w:sz w:val="16"/>
        <w:szCs w:val="16"/>
      </w:rPr>
      <w:t>3</w:t>
    </w:r>
    <w:r w:rsidRPr="00DB41B8">
      <w:rPr>
        <w:rFonts w:asciiTheme="minorHAnsi" w:hAnsiTheme="minorHAnsi" w:cstheme="minorHAnsi"/>
        <w:b/>
        <w:sz w:val="16"/>
        <w:szCs w:val="16"/>
      </w:rPr>
      <w:fldChar w:fldCharType="end"/>
    </w:r>
    <w:r w:rsidRPr="00DB41B8">
      <w:rPr>
        <w:rFonts w:asciiTheme="minorHAnsi" w:hAnsiTheme="minorHAnsi" w:cstheme="minorHAnsi"/>
        <w:sz w:val="16"/>
        <w:szCs w:val="16"/>
      </w:rPr>
      <w:t xml:space="preserve"> of </w:t>
    </w:r>
    <w:r w:rsidRPr="00DB41B8">
      <w:rPr>
        <w:rFonts w:asciiTheme="minorHAnsi" w:hAnsiTheme="minorHAnsi" w:cstheme="minorHAnsi"/>
        <w:b/>
        <w:sz w:val="16"/>
        <w:szCs w:val="16"/>
      </w:rPr>
      <w:fldChar w:fldCharType="begin"/>
    </w:r>
    <w:r w:rsidRPr="00DB41B8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Pr="00DB41B8">
      <w:rPr>
        <w:rFonts w:asciiTheme="minorHAnsi" w:hAnsiTheme="minorHAnsi" w:cstheme="minorHAnsi"/>
        <w:b/>
        <w:sz w:val="16"/>
        <w:szCs w:val="16"/>
      </w:rPr>
      <w:fldChar w:fldCharType="separate"/>
    </w:r>
    <w:r w:rsidR="00E3418D" w:rsidRPr="00DB41B8">
      <w:rPr>
        <w:rFonts w:asciiTheme="minorHAnsi" w:hAnsiTheme="minorHAnsi" w:cstheme="minorHAnsi"/>
        <w:b/>
        <w:noProof/>
        <w:sz w:val="16"/>
        <w:szCs w:val="16"/>
      </w:rPr>
      <w:t>3</w:t>
    </w:r>
    <w:r w:rsidRPr="00DB41B8">
      <w:rPr>
        <w:rFonts w:asciiTheme="minorHAnsi" w:hAnsiTheme="minorHAnsi" w:cstheme="minorHAnsi"/>
        <w:b/>
        <w:sz w:val="16"/>
        <w:szCs w:val="16"/>
      </w:rPr>
      <w:fldChar w:fldCharType="end"/>
    </w:r>
  </w:p>
  <w:p w14:paraId="0C0C72A6" w14:textId="77777777" w:rsidR="00AA0917" w:rsidRPr="00DB41B8" w:rsidRDefault="00AA0917" w:rsidP="00AA0917">
    <w:pPr>
      <w:pStyle w:val="Footer"/>
      <w:rPr>
        <w:rFonts w:asciiTheme="minorHAnsi" w:hAnsiTheme="minorHAnsi" w:cstheme="minorHAnsi"/>
        <w:sz w:val="16"/>
        <w:szCs w:val="16"/>
      </w:rPr>
    </w:pPr>
    <w:r w:rsidRPr="00DB41B8">
      <w:rPr>
        <w:rFonts w:asciiTheme="minorHAnsi" w:hAnsiTheme="minorHAnsi" w:cstheme="minorHAnsi"/>
        <w:sz w:val="16"/>
        <w:szCs w:val="16"/>
      </w:rPr>
      <w:t>Review Date ${review}</w:t>
    </w:r>
  </w:p>
  <w:p w14:paraId="1B6ACC8D" w14:textId="7578BCCB" w:rsidR="00CD29DF" w:rsidRDefault="00CD29DF" w:rsidP="00AA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D4DF" w14:textId="77777777" w:rsidR="00806109" w:rsidRDefault="00806109" w:rsidP="006419CA">
      <w:pPr>
        <w:spacing w:after="0" w:line="240" w:lineRule="auto"/>
      </w:pPr>
      <w:r>
        <w:separator/>
      </w:r>
    </w:p>
  </w:footnote>
  <w:footnote w:type="continuationSeparator" w:id="0">
    <w:p w14:paraId="529EE214" w14:textId="77777777" w:rsidR="00806109" w:rsidRDefault="00806109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E747" w14:textId="3BA0A5CC" w:rsidR="00836F60" w:rsidRPr="00DB41B8" w:rsidRDefault="004F3F92" w:rsidP="005576C4">
    <w:pPr>
      <w:pStyle w:val="Header"/>
      <w:tabs>
        <w:tab w:val="clear" w:pos="9026"/>
        <w:tab w:val="left" w:pos="5325"/>
      </w:tabs>
      <w:rPr>
        <w:rFonts w:asciiTheme="minorHAnsi" w:hAnsiTheme="minorHAnsi" w:cstheme="minorHAnsi"/>
        <w:sz w:val="16"/>
        <w:szCs w:val="16"/>
      </w:rPr>
    </w:pPr>
    <w:r w:rsidRPr="00DB41B8">
      <w:rPr>
        <w:rFonts w:asciiTheme="minorHAnsi" w:hAnsiTheme="minorHAnsi" w:cstheme="minorHAnsi"/>
        <w:b/>
        <w:sz w:val="18"/>
        <w:szCs w:val="18"/>
      </w:rPr>
      <w:t>${legalname}</w:t>
    </w:r>
    <w:r w:rsidRPr="00DB41B8">
      <w:rPr>
        <w:rFonts w:asciiTheme="minorHAnsi" w:hAnsiTheme="minorHAnsi" w:cstheme="minorHAnsi"/>
        <w:bCs/>
        <w:sz w:val="18"/>
        <w:szCs w:val="18"/>
      </w:rPr>
      <w:t>.</w:t>
    </w:r>
    <w:r w:rsidR="00932211" w:rsidRPr="00DB41B8">
      <w:rPr>
        <w:rFonts w:asciiTheme="minorHAnsi" w:hAnsiTheme="minorHAnsi" w:cstheme="minorHAnsi"/>
        <w:sz w:val="16"/>
        <w:szCs w:val="16"/>
      </w:rPr>
      <w:tab/>
    </w:r>
    <w:r w:rsidR="007D3A2E" w:rsidRPr="00DB41B8">
      <w:rPr>
        <w:rFonts w:asciiTheme="minorHAnsi" w:hAnsiTheme="minorHAnsi" w:cstheme="minorHAnsi"/>
        <w:sz w:val="16"/>
        <w:szCs w:val="16"/>
      </w:rPr>
      <w:tab/>
    </w:r>
    <w:r w:rsidR="005576C4">
      <w:rPr>
        <w:rFonts w:asciiTheme="minorHAnsi" w:hAnsiTheme="minorHAnsi" w:cstheme="minorHAnsi"/>
        <w:sz w:val="16"/>
        <w:szCs w:val="16"/>
      </w:rPr>
      <w:tab/>
    </w:r>
    <w:r w:rsidR="00932211" w:rsidRPr="00DB41B8">
      <w:rPr>
        <w:rFonts w:asciiTheme="minorHAnsi" w:hAnsiTheme="minorHAnsi" w:cstheme="minorHAnsi"/>
        <w:sz w:val="16"/>
        <w:szCs w:val="16"/>
      </w:rPr>
      <w:tab/>
    </w:r>
    <w:r w:rsidR="005576C4">
      <w:rPr>
        <w:rFonts w:asciiTheme="minorHAnsi" w:hAnsiTheme="minorHAnsi" w:cstheme="minorHAnsi"/>
        <w:sz w:val="16"/>
        <w:szCs w:val="16"/>
      </w:rPr>
      <w:t xml:space="preserve">Healthy Workplace Program Procedure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D3BCC"/>
    <w:multiLevelType w:val="hybridMultilevel"/>
    <w:tmpl w:val="71EE54C4"/>
    <w:lvl w:ilvl="0" w:tplc="F502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819"/>
    <w:multiLevelType w:val="hybridMultilevel"/>
    <w:tmpl w:val="C162826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0C593F"/>
    <w:multiLevelType w:val="hybridMultilevel"/>
    <w:tmpl w:val="746CD8E8"/>
    <w:lvl w:ilvl="0" w:tplc="DA9AB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0657"/>
    <w:multiLevelType w:val="hybridMultilevel"/>
    <w:tmpl w:val="B1385F10"/>
    <w:lvl w:ilvl="0" w:tplc="5F0CAC32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2CDA"/>
    <w:multiLevelType w:val="hybridMultilevel"/>
    <w:tmpl w:val="C88C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31C5"/>
    <w:multiLevelType w:val="hybridMultilevel"/>
    <w:tmpl w:val="8D2A1398"/>
    <w:lvl w:ilvl="0" w:tplc="5F0CAC32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6693"/>
    <w:multiLevelType w:val="hybridMultilevel"/>
    <w:tmpl w:val="C0D4350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20B1"/>
    <w:multiLevelType w:val="hybridMultilevel"/>
    <w:tmpl w:val="AF24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62FBB"/>
    <w:multiLevelType w:val="hybridMultilevel"/>
    <w:tmpl w:val="A824D81C"/>
    <w:lvl w:ilvl="0" w:tplc="5F0CAC32">
      <w:start w:val="11"/>
      <w:numFmt w:val="bullet"/>
      <w:lvlText w:val="•"/>
      <w:lvlJc w:val="left"/>
      <w:pPr>
        <w:ind w:left="1080" w:hanging="720"/>
      </w:pPr>
      <w:rPr>
        <w:rFonts w:ascii="Corbel" w:eastAsia="Calibri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7855"/>
    <w:multiLevelType w:val="hybridMultilevel"/>
    <w:tmpl w:val="889A016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1B6D"/>
    <w:multiLevelType w:val="multilevel"/>
    <w:tmpl w:val="25FA6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Symbol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76104"/>
    <w:multiLevelType w:val="hybridMultilevel"/>
    <w:tmpl w:val="1EF61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173E"/>
    <w:multiLevelType w:val="hybridMultilevel"/>
    <w:tmpl w:val="3DBCDE1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03FB9"/>
    <w:multiLevelType w:val="hybridMultilevel"/>
    <w:tmpl w:val="9F90F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97749"/>
    <w:multiLevelType w:val="hybridMultilevel"/>
    <w:tmpl w:val="16286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341E9"/>
    <w:multiLevelType w:val="hybridMultilevel"/>
    <w:tmpl w:val="84CE499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DF8"/>
    <w:multiLevelType w:val="hybridMultilevel"/>
    <w:tmpl w:val="33DE4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17A26"/>
    <w:multiLevelType w:val="hybridMultilevel"/>
    <w:tmpl w:val="91AA97E6"/>
    <w:lvl w:ilvl="0" w:tplc="F502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30A2B"/>
    <w:multiLevelType w:val="multilevel"/>
    <w:tmpl w:val="79067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13E36"/>
    <w:multiLevelType w:val="hybridMultilevel"/>
    <w:tmpl w:val="718ED606"/>
    <w:lvl w:ilvl="0" w:tplc="22DC95D4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8229D"/>
    <w:multiLevelType w:val="hybridMultilevel"/>
    <w:tmpl w:val="39EA4E4A"/>
    <w:lvl w:ilvl="0" w:tplc="F5020C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7B0B6F"/>
    <w:multiLevelType w:val="hybridMultilevel"/>
    <w:tmpl w:val="8020BC3C"/>
    <w:lvl w:ilvl="0" w:tplc="F5020C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4D313D1"/>
    <w:multiLevelType w:val="multilevel"/>
    <w:tmpl w:val="D10A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B6CCC"/>
    <w:multiLevelType w:val="hybridMultilevel"/>
    <w:tmpl w:val="528C2842"/>
    <w:lvl w:ilvl="0" w:tplc="22DC95D4">
      <w:start w:val="11"/>
      <w:numFmt w:val="bullet"/>
      <w:lvlText w:val="•"/>
      <w:lvlJc w:val="left"/>
      <w:pPr>
        <w:ind w:left="1080" w:hanging="720"/>
      </w:pPr>
      <w:rPr>
        <w:rFonts w:ascii="Corbel" w:eastAsia="Times New Roman" w:hAnsi="Corbe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3390"/>
    <w:multiLevelType w:val="hybridMultilevel"/>
    <w:tmpl w:val="44480492"/>
    <w:lvl w:ilvl="0" w:tplc="B37C4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83288"/>
    <w:multiLevelType w:val="hybridMultilevel"/>
    <w:tmpl w:val="82A46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06645">
    <w:abstractNumId w:val="26"/>
  </w:num>
  <w:num w:numId="2" w16cid:durableId="229273253">
    <w:abstractNumId w:val="18"/>
  </w:num>
  <w:num w:numId="3" w16cid:durableId="1438283816">
    <w:abstractNumId w:val="21"/>
  </w:num>
  <w:num w:numId="4" w16cid:durableId="1422220064">
    <w:abstractNumId w:val="1"/>
  </w:num>
  <w:num w:numId="5" w16cid:durableId="811945134">
    <w:abstractNumId w:val="22"/>
  </w:num>
  <w:num w:numId="6" w16cid:durableId="1999649791">
    <w:abstractNumId w:val="19"/>
  </w:num>
  <w:num w:numId="7" w16cid:durableId="1916477907">
    <w:abstractNumId w:val="11"/>
  </w:num>
  <w:num w:numId="8" w16cid:durableId="375812354">
    <w:abstractNumId w:val="5"/>
  </w:num>
  <w:num w:numId="9" w16cid:durableId="337463774">
    <w:abstractNumId w:val="2"/>
  </w:num>
  <w:num w:numId="10" w16cid:durableId="1937057396">
    <w:abstractNumId w:val="8"/>
  </w:num>
  <w:num w:numId="11" w16cid:durableId="1834224430">
    <w:abstractNumId w:val="12"/>
  </w:num>
  <w:num w:numId="12" w16cid:durableId="653409940">
    <w:abstractNumId w:val="15"/>
  </w:num>
  <w:num w:numId="13" w16cid:durableId="1213153718">
    <w:abstractNumId w:val="6"/>
  </w:num>
  <w:num w:numId="14" w16cid:durableId="1189560863">
    <w:abstractNumId w:val="9"/>
  </w:num>
  <w:num w:numId="15" w16cid:durableId="1900048366">
    <w:abstractNumId w:val="4"/>
  </w:num>
  <w:num w:numId="16" w16cid:durableId="574240876">
    <w:abstractNumId w:val="20"/>
  </w:num>
  <w:num w:numId="17" w16cid:durableId="372848604">
    <w:abstractNumId w:val="24"/>
  </w:num>
  <w:num w:numId="18" w16cid:durableId="628320169">
    <w:abstractNumId w:val="3"/>
  </w:num>
  <w:num w:numId="19" w16cid:durableId="83233414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</w:rPr>
      </w:lvl>
    </w:lvlOverride>
  </w:num>
  <w:num w:numId="20" w16cid:durableId="1999571503">
    <w:abstractNumId w:val="17"/>
  </w:num>
  <w:num w:numId="21" w16cid:durableId="1042167875">
    <w:abstractNumId w:val="14"/>
  </w:num>
  <w:num w:numId="22" w16cid:durableId="741146907">
    <w:abstractNumId w:val="16"/>
  </w:num>
  <w:num w:numId="23" w16cid:durableId="1160538528">
    <w:abstractNumId w:val="13"/>
  </w:num>
  <w:num w:numId="24" w16cid:durableId="1329167988">
    <w:abstractNumId w:val="7"/>
  </w:num>
  <w:num w:numId="25" w16cid:durableId="84153177">
    <w:abstractNumId w:val="23"/>
  </w:num>
  <w:num w:numId="26" w16cid:durableId="1073546220">
    <w:abstractNumId w:val="25"/>
  </w:num>
  <w:num w:numId="27" w16cid:durableId="185515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CA"/>
    <w:rsid w:val="00005832"/>
    <w:rsid w:val="00007E6E"/>
    <w:rsid w:val="00007E8C"/>
    <w:rsid w:val="00032925"/>
    <w:rsid w:val="00072A32"/>
    <w:rsid w:val="000A5DFE"/>
    <w:rsid w:val="000D27CB"/>
    <w:rsid w:val="000F2276"/>
    <w:rsid w:val="001228A2"/>
    <w:rsid w:val="001268B9"/>
    <w:rsid w:val="00140527"/>
    <w:rsid w:val="0014185A"/>
    <w:rsid w:val="001459B1"/>
    <w:rsid w:val="00146555"/>
    <w:rsid w:val="0015215F"/>
    <w:rsid w:val="00173DEE"/>
    <w:rsid w:val="00186A14"/>
    <w:rsid w:val="001C6111"/>
    <w:rsid w:val="001E0DED"/>
    <w:rsid w:val="001E5203"/>
    <w:rsid w:val="001F37CC"/>
    <w:rsid w:val="001F3C10"/>
    <w:rsid w:val="002901CC"/>
    <w:rsid w:val="00294D2C"/>
    <w:rsid w:val="002A2C26"/>
    <w:rsid w:val="002D3A14"/>
    <w:rsid w:val="002E0919"/>
    <w:rsid w:val="00310E26"/>
    <w:rsid w:val="00347D19"/>
    <w:rsid w:val="0036064E"/>
    <w:rsid w:val="00396D39"/>
    <w:rsid w:val="003F1876"/>
    <w:rsid w:val="004002D5"/>
    <w:rsid w:val="00402140"/>
    <w:rsid w:val="00413339"/>
    <w:rsid w:val="004154A1"/>
    <w:rsid w:val="00420D7B"/>
    <w:rsid w:val="00437F2D"/>
    <w:rsid w:val="0047137B"/>
    <w:rsid w:val="004A5EBF"/>
    <w:rsid w:val="004B5F52"/>
    <w:rsid w:val="004C411C"/>
    <w:rsid w:val="004F3687"/>
    <w:rsid w:val="004F3F92"/>
    <w:rsid w:val="00542A55"/>
    <w:rsid w:val="00551853"/>
    <w:rsid w:val="005576C4"/>
    <w:rsid w:val="00562B20"/>
    <w:rsid w:val="00566A45"/>
    <w:rsid w:val="00592067"/>
    <w:rsid w:val="005D78C4"/>
    <w:rsid w:val="005E1AE1"/>
    <w:rsid w:val="005F7C9E"/>
    <w:rsid w:val="00630A89"/>
    <w:rsid w:val="006419CA"/>
    <w:rsid w:val="00641A26"/>
    <w:rsid w:val="006768FF"/>
    <w:rsid w:val="00680BD5"/>
    <w:rsid w:val="00690583"/>
    <w:rsid w:val="006A6051"/>
    <w:rsid w:val="006E4AFB"/>
    <w:rsid w:val="006F18A1"/>
    <w:rsid w:val="00726428"/>
    <w:rsid w:val="0073463F"/>
    <w:rsid w:val="007356E8"/>
    <w:rsid w:val="00786B7A"/>
    <w:rsid w:val="00795C65"/>
    <w:rsid w:val="007B65A6"/>
    <w:rsid w:val="007D060E"/>
    <w:rsid w:val="007D3A2E"/>
    <w:rsid w:val="007D4B29"/>
    <w:rsid w:val="007E5F62"/>
    <w:rsid w:val="00806109"/>
    <w:rsid w:val="00814B28"/>
    <w:rsid w:val="00836F60"/>
    <w:rsid w:val="00837903"/>
    <w:rsid w:val="0086420C"/>
    <w:rsid w:val="00880262"/>
    <w:rsid w:val="008829CA"/>
    <w:rsid w:val="00883D9F"/>
    <w:rsid w:val="0089317F"/>
    <w:rsid w:val="008A1CA2"/>
    <w:rsid w:val="008C5253"/>
    <w:rsid w:val="008D3EC1"/>
    <w:rsid w:val="0091394E"/>
    <w:rsid w:val="009160B6"/>
    <w:rsid w:val="00932211"/>
    <w:rsid w:val="00933180"/>
    <w:rsid w:val="00966BE9"/>
    <w:rsid w:val="00970E93"/>
    <w:rsid w:val="009816F4"/>
    <w:rsid w:val="00994388"/>
    <w:rsid w:val="009A1BB5"/>
    <w:rsid w:val="00A27793"/>
    <w:rsid w:val="00A32A1D"/>
    <w:rsid w:val="00A373E0"/>
    <w:rsid w:val="00A462D5"/>
    <w:rsid w:val="00A47BDF"/>
    <w:rsid w:val="00A70D1A"/>
    <w:rsid w:val="00A740A1"/>
    <w:rsid w:val="00A8675B"/>
    <w:rsid w:val="00AA0917"/>
    <w:rsid w:val="00AC085E"/>
    <w:rsid w:val="00AE765C"/>
    <w:rsid w:val="00AF076C"/>
    <w:rsid w:val="00AF7606"/>
    <w:rsid w:val="00B077BA"/>
    <w:rsid w:val="00BB031E"/>
    <w:rsid w:val="00BE3572"/>
    <w:rsid w:val="00BE53B6"/>
    <w:rsid w:val="00C05EE1"/>
    <w:rsid w:val="00C45FED"/>
    <w:rsid w:val="00C47DD2"/>
    <w:rsid w:val="00C93949"/>
    <w:rsid w:val="00CA2B39"/>
    <w:rsid w:val="00CA5E0D"/>
    <w:rsid w:val="00CB05C0"/>
    <w:rsid w:val="00CB2201"/>
    <w:rsid w:val="00CC420A"/>
    <w:rsid w:val="00CD29DF"/>
    <w:rsid w:val="00D80243"/>
    <w:rsid w:val="00DB41B8"/>
    <w:rsid w:val="00DB777B"/>
    <w:rsid w:val="00DB7BFD"/>
    <w:rsid w:val="00DD5874"/>
    <w:rsid w:val="00DF6016"/>
    <w:rsid w:val="00E3418D"/>
    <w:rsid w:val="00EA6E13"/>
    <w:rsid w:val="00EB2000"/>
    <w:rsid w:val="00EF0F4F"/>
    <w:rsid w:val="00EF2375"/>
    <w:rsid w:val="00F168D8"/>
    <w:rsid w:val="00F2136C"/>
    <w:rsid w:val="00F41C9F"/>
    <w:rsid w:val="00F52ED7"/>
    <w:rsid w:val="00F57586"/>
    <w:rsid w:val="00F75F05"/>
    <w:rsid w:val="00F7724A"/>
    <w:rsid w:val="00F777CC"/>
    <w:rsid w:val="00F80018"/>
    <w:rsid w:val="00F83A7B"/>
    <w:rsid w:val="00FA325E"/>
    <w:rsid w:val="00FC4A0D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7B2413"/>
  <w15:docId w15:val="{AAA658A3-899A-4E0B-B350-22454623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0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lockText">
    <w:name w:val="Block Text"/>
    <w:basedOn w:val="Default"/>
    <w:next w:val="Default"/>
    <w:uiPriority w:val="99"/>
    <w:rsid w:val="00680BD5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680BD5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680BD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BD5"/>
    <w:pPr>
      <w:ind w:left="720"/>
      <w:contextualSpacing/>
    </w:pPr>
  </w:style>
  <w:style w:type="paragraph" w:customStyle="1" w:styleId="Documentation">
    <w:name w:val="Documentation"/>
    <w:basedOn w:val="Default"/>
    <w:next w:val="Default"/>
    <w:uiPriority w:val="99"/>
    <w:rsid w:val="00566A45"/>
    <w:rPr>
      <w:color w:val="auto"/>
    </w:rPr>
  </w:style>
  <w:style w:type="character" w:styleId="Hyperlink">
    <w:name w:val="Hyperlink"/>
    <w:basedOn w:val="DefaultParagraphFont"/>
    <w:uiPriority w:val="99"/>
    <w:unhideWhenUsed/>
    <w:rsid w:val="00970E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E93"/>
    <w:rPr>
      <w:color w:val="800080"/>
      <w:u w:val="single"/>
    </w:rPr>
  </w:style>
  <w:style w:type="table" w:styleId="TableGrid">
    <w:name w:val="Table Grid"/>
    <w:basedOn w:val="TableNormal"/>
    <w:uiPriority w:val="59"/>
    <w:rsid w:val="00FA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37CC"/>
    <w:pPr>
      <w:spacing w:after="0" w:line="360" w:lineRule="atLeast"/>
    </w:pPr>
    <w:rPr>
      <w:rFonts w:ascii="Verdana" w:eastAsia="Times New Roman" w:hAnsi="Verdana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health.sa.gov.au/healhtywork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dhealthconnect.org.au/stres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dsup.org.a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o.in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althyworkers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health.sa.gov.au/healthy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29114CCBBAD498625F439DDB79C96" ma:contentTypeVersion="5" ma:contentTypeDescription="Create a new document." ma:contentTypeScope="" ma:versionID="3c414f49b421459f427d96cc5037a03b">
  <xsd:schema xmlns:xsd="http://www.w3.org/2001/XMLSchema" xmlns:xs="http://www.w3.org/2001/XMLSchema" xmlns:p="http://schemas.microsoft.com/office/2006/metadata/properties" xmlns:ns2="4e7f5ee9-d8ca-4a99-a252-62932a061f5f" xmlns:ns3="b8f2cde7-ce0b-4cf4-bb64-3e41ab4bf648" targetNamespace="http://schemas.microsoft.com/office/2006/metadata/properties" ma:root="true" ma:fieldsID="0b715057fbd7b2098771d0b36e1f7df8" ns2:_="" ns3:_="">
    <xsd:import namespace="4e7f5ee9-d8ca-4a99-a252-62932a061f5f"/>
    <xsd:import namespace="b8f2cde7-ce0b-4cf4-bb64-3e41ab4bf6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5ee9-d8ca-4a99-a252-62932a061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2cde7-ce0b-4cf4-bb64-3e41ab4bf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6B955-1AE5-4CDB-A08C-D436B4A80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050BC-57F1-4D0B-9966-D68483E52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f5ee9-d8ca-4a99-a252-62932a061f5f"/>
    <ds:schemaRef ds:uri="b8f2cde7-ce0b-4cf4-bb64-3e41ab4b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9C4E7-2C14-43AC-B0D0-09CBBC4B2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70AFF-A541-488F-8BE9-AC876A17A3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6118</CharactersWithSpaces>
  <SharedDoc>false</SharedDoc>
  <HLinks>
    <vt:vector size="6" baseType="variant">
      <vt:variant>
        <vt:i4>3735669</vt:i4>
      </vt:variant>
      <vt:variant>
        <vt:i4>6</vt:i4>
      </vt:variant>
      <vt:variant>
        <vt:i4>0</vt:i4>
      </vt:variant>
      <vt:variant>
        <vt:i4>5</vt:i4>
      </vt:variant>
      <vt:variant>
        <vt:lpwstr>../../../../Safety Resources/5 Steps to Safety/Management System/2 Planning/Safe Work Method Statement &amp; Site Inspection, OHSFOR -003A.doc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2025-11-19T22:30:00Z</dcterms:created>
  <dcterms:modified xsi:type="dcterms:W3CDTF">2025-11-19T22:30:00Z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0x01010044D29114CCBBAD498625F439DDB79C96</vt:lpwstr>
  </property>
  <property fmtid="{D5CDD505-2E9C-101B-9397-08002B2CF9AE}" pid="3" name="Order">
    <vt:r8>1286400</vt:r8>
  </property>
</Properties>
</file>